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6C87C138"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1F95C219" w14:textId="5FD4A45E" w:rsidR="000D7DF1" w:rsidRDefault="00FF50CF" w:rsidP="00EA3A13">
      <w:pPr>
        <w:pStyle w:val="Paper-Title"/>
        <w:spacing w:after="0" w:line="360" w:lineRule="auto"/>
        <w:ind w:firstLine="0"/>
        <w:rPr>
          <w:rFonts w:ascii="Arial" w:hAnsi="Arial" w:cs="Arial"/>
          <w:sz w:val="28"/>
          <w:szCs w:val="28"/>
        </w:rPr>
      </w:pPr>
      <w:r w:rsidRPr="00FF50CF">
        <w:rPr>
          <w:rFonts w:ascii="Arial" w:hAnsi="Arial" w:cs="Arial"/>
          <w:sz w:val="28"/>
          <w:szCs w:val="28"/>
        </w:rPr>
        <w:t>Dimensions of Personhood in Cultural Heritage: Who (or What) Gets to Be Called a Person?</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24699A93"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FF50CF">
        <w:rPr>
          <w:rFonts w:ascii="Arial" w:hAnsi="Arial" w:cs="Arial"/>
          <w:sz w:val="24"/>
          <w:szCs w:val="24"/>
        </w:rPr>
        <w:t>personhood, cultural heritage, knowledge organization</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0640B547"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 xml:space="preserve">Introduction </w:t>
      </w:r>
      <w:r w:rsidR="00DD6D40">
        <w:rPr>
          <w:rFonts w:ascii="Arial" w:hAnsi="Arial" w:cs="Arial"/>
          <w:szCs w:val="22"/>
        </w:rPr>
        <w:t>&amp; Theoretical Framework</w:t>
      </w:r>
    </w:p>
    <w:p w14:paraId="5B95E80D" w14:textId="77777777"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 xml:space="preserve">When institutions were autonomous, the scope and definitions of fundamental concepts were developed to some degree within the framework of their own domains. An archivist could define and use the concept of “date” differently than did a database designer. In an era of active global, networked environments, however, data sharing and reuse have exposed new implications of varying and possibly contradictory ways in which key concepts are defined and described, either overtly or inadvertently. </w:t>
      </w:r>
    </w:p>
    <w:p w14:paraId="20F41AB5" w14:textId="77777777" w:rsidR="00FF50CF" w:rsidRPr="00FF50CF" w:rsidRDefault="00FF50CF" w:rsidP="00FF50CF">
      <w:pPr>
        <w:spacing w:after="0" w:line="360" w:lineRule="auto"/>
        <w:ind w:firstLine="0"/>
        <w:rPr>
          <w:rFonts w:ascii="Arial" w:hAnsi="Arial" w:cs="Arial"/>
          <w:sz w:val="22"/>
          <w:szCs w:val="22"/>
        </w:rPr>
      </w:pPr>
    </w:p>
    <w:p w14:paraId="4FB15F61" w14:textId="2AF8D9F5"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In this paper we investigate personhood as an example of such a fundamental concept: what is a person, and who gets to be described as one? The answer may appear straightforward, but is in fact less objective than it seems. The concept has been challenged and debated in fields including philosophy, theology, anthropology, medicine, and law, with varying results (</w:t>
      </w:r>
      <w:proofErr w:type="spellStart"/>
      <w:r w:rsidRPr="00FF50CF">
        <w:rPr>
          <w:rFonts w:ascii="Arial" w:hAnsi="Arial" w:cs="Arial"/>
          <w:sz w:val="22"/>
          <w:szCs w:val="22"/>
        </w:rPr>
        <w:t>Carrithers</w:t>
      </w:r>
      <w:proofErr w:type="spellEnd"/>
      <w:r w:rsidRPr="00FF50CF">
        <w:rPr>
          <w:rFonts w:ascii="Arial" w:hAnsi="Arial" w:cs="Arial"/>
          <w:sz w:val="22"/>
          <w:szCs w:val="22"/>
        </w:rPr>
        <w:t>, Collins</w:t>
      </w:r>
      <w:r w:rsidR="00DB0C25">
        <w:rPr>
          <w:rFonts w:ascii="Arial" w:hAnsi="Arial" w:cs="Arial"/>
          <w:sz w:val="22"/>
          <w:szCs w:val="22"/>
        </w:rPr>
        <w:t>, and</w:t>
      </w:r>
      <w:r w:rsidRPr="00FF50CF">
        <w:rPr>
          <w:rFonts w:ascii="Arial" w:hAnsi="Arial" w:cs="Arial"/>
          <w:sz w:val="22"/>
          <w:szCs w:val="22"/>
        </w:rPr>
        <w:t xml:space="preserve"> </w:t>
      </w:r>
      <w:proofErr w:type="spellStart"/>
      <w:r w:rsidRPr="00FF50CF">
        <w:rPr>
          <w:rFonts w:ascii="Arial" w:hAnsi="Arial" w:cs="Arial"/>
          <w:sz w:val="22"/>
          <w:szCs w:val="22"/>
        </w:rPr>
        <w:t>Lukes</w:t>
      </w:r>
      <w:proofErr w:type="spellEnd"/>
      <w:r w:rsidR="00DB0C25">
        <w:rPr>
          <w:rFonts w:ascii="Arial" w:hAnsi="Arial" w:cs="Arial"/>
          <w:sz w:val="22"/>
          <w:szCs w:val="22"/>
        </w:rPr>
        <w:t xml:space="preserve"> </w:t>
      </w:r>
      <w:r w:rsidRPr="00FF50CF">
        <w:rPr>
          <w:rFonts w:ascii="Arial" w:hAnsi="Arial" w:cs="Arial"/>
          <w:sz w:val="22"/>
          <w:szCs w:val="22"/>
        </w:rPr>
        <w:t>1985). Variations in the way persons are described, represented, and discussed take on new significance in emerging online environments predicated on reusing and sharing data from disparate sources. These variations and their potential conflicts are of particular interest given the importance and difficulty of personal identity management in the Semantic Web (</w:t>
      </w:r>
      <w:proofErr w:type="spellStart"/>
      <w:r w:rsidRPr="00FF50CF">
        <w:rPr>
          <w:rFonts w:ascii="Arial" w:hAnsi="Arial" w:cs="Arial"/>
          <w:sz w:val="22"/>
          <w:szCs w:val="22"/>
        </w:rPr>
        <w:t>McCusker</w:t>
      </w:r>
      <w:proofErr w:type="spellEnd"/>
      <w:r w:rsidRPr="00FF50CF">
        <w:rPr>
          <w:rFonts w:ascii="Arial" w:hAnsi="Arial" w:cs="Arial"/>
          <w:sz w:val="22"/>
          <w:szCs w:val="22"/>
        </w:rPr>
        <w:t xml:space="preserve"> </w:t>
      </w:r>
      <w:r w:rsidR="00DB0C25">
        <w:rPr>
          <w:rFonts w:ascii="Arial" w:hAnsi="Arial" w:cs="Arial"/>
          <w:sz w:val="22"/>
          <w:szCs w:val="22"/>
        </w:rPr>
        <w:t>and</w:t>
      </w:r>
      <w:r w:rsidRPr="00FF50CF">
        <w:rPr>
          <w:rFonts w:ascii="Arial" w:hAnsi="Arial" w:cs="Arial"/>
          <w:sz w:val="22"/>
          <w:szCs w:val="22"/>
        </w:rPr>
        <w:t xml:space="preserve"> McGuinness 2010</w:t>
      </w:r>
      <w:r w:rsidR="00AA58F9">
        <w:rPr>
          <w:rFonts w:ascii="Arial" w:hAnsi="Arial" w:cs="Arial"/>
          <w:sz w:val="22"/>
          <w:szCs w:val="22"/>
        </w:rPr>
        <w:t>, 2</w:t>
      </w:r>
      <w:r w:rsidRPr="00FF50CF">
        <w:rPr>
          <w:rFonts w:ascii="Arial" w:hAnsi="Arial" w:cs="Arial"/>
          <w:sz w:val="22"/>
          <w:szCs w:val="22"/>
        </w:rPr>
        <w:t xml:space="preserve">). More broadly, varying conceptions of personhood have pertinent implications for the future world of complex debates about identity, and perhaps more important, the rights that are associated with being a person.  </w:t>
      </w:r>
    </w:p>
    <w:p w14:paraId="62A4ECF8" w14:textId="77777777" w:rsidR="00FF50CF" w:rsidRPr="00FF50CF" w:rsidRDefault="00FF50CF" w:rsidP="00FF50CF">
      <w:pPr>
        <w:spacing w:after="0" w:line="360" w:lineRule="auto"/>
        <w:ind w:firstLine="0"/>
        <w:rPr>
          <w:rFonts w:ascii="Arial" w:hAnsi="Arial" w:cs="Arial"/>
          <w:sz w:val="22"/>
          <w:szCs w:val="22"/>
        </w:rPr>
      </w:pPr>
    </w:p>
    <w:p w14:paraId="6C23D30A" w14:textId="14751C1F"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 xml:space="preserve">For the present work, we limit our examination of personhood to one multi-dimensional domain: cultural heritage, which encompasses the study, preservation, and curation of cultural practices and resources (UNESCO 2019). This space is complex and distributed, with work carried out by information institutions such as libraries, archives, and museums. Such institutions have devoted a great deal of energy to procuring, organizing, representing, managing, and providing access to resources, generating vast amounts of metadata in the process. Not only are persons the intended end users for such data through discovery tools such as catalogs and finding aids, they themselves are the subjects of cultural heritage metadata as well. For instance, libraries describe the persons </w:t>
      </w:r>
      <w:r w:rsidRPr="00FF50CF">
        <w:rPr>
          <w:rFonts w:ascii="Arial" w:hAnsi="Arial" w:cs="Arial"/>
          <w:sz w:val="22"/>
          <w:szCs w:val="22"/>
        </w:rPr>
        <w:lastRenderedPageBreak/>
        <w:t xml:space="preserve">who create intellectual works, while archives use oral histories to depict a person’s lived experiences (Dobreski </w:t>
      </w:r>
      <w:r w:rsidR="00DB0C25">
        <w:rPr>
          <w:rFonts w:ascii="Arial" w:hAnsi="Arial" w:cs="Arial"/>
          <w:sz w:val="22"/>
          <w:szCs w:val="22"/>
        </w:rPr>
        <w:t>and</w:t>
      </w:r>
      <w:r w:rsidRPr="00FF50CF">
        <w:rPr>
          <w:rFonts w:ascii="Arial" w:hAnsi="Arial" w:cs="Arial"/>
          <w:sz w:val="22"/>
          <w:szCs w:val="22"/>
        </w:rPr>
        <w:t xml:space="preserve"> </w:t>
      </w:r>
      <w:proofErr w:type="spellStart"/>
      <w:r w:rsidRPr="00FF50CF">
        <w:rPr>
          <w:rFonts w:ascii="Arial" w:hAnsi="Arial" w:cs="Arial"/>
          <w:sz w:val="22"/>
          <w:szCs w:val="22"/>
        </w:rPr>
        <w:t>Kwaśnik</w:t>
      </w:r>
      <w:proofErr w:type="spellEnd"/>
      <w:r w:rsidRPr="00FF50CF">
        <w:rPr>
          <w:rFonts w:ascii="Arial" w:hAnsi="Arial" w:cs="Arial"/>
          <w:sz w:val="22"/>
          <w:szCs w:val="22"/>
        </w:rPr>
        <w:t xml:space="preserve"> 2018</w:t>
      </w:r>
      <w:r w:rsidR="00AA58F9">
        <w:rPr>
          <w:rFonts w:ascii="Arial" w:hAnsi="Arial" w:cs="Arial"/>
          <w:sz w:val="22"/>
          <w:szCs w:val="22"/>
        </w:rPr>
        <w:t>, 658</w:t>
      </w:r>
      <w:r w:rsidRPr="00FF50CF">
        <w:rPr>
          <w:rFonts w:ascii="Arial" w:hAnsi="Arial" w:cs="Arial"/>
          <w:sz w:val="22"/>
          <w:szCs w:val="22"/>
        </w:rPr>
        <w:t xml:space="preserve">). </w:t>
      </w:r>
    </w:p>
    <w:p w14:paraId="35640485" w14:textId="77777777" w:rsidR="00FF50CF" w:rsidRPr="00FF50CF" w:rsidRDefault="00FF50CF" w:rsidP="00FF50CF">
      <w:pPr>
        <w:spacing w:after="0" w:line="360" w:lineRule="auto"/>
        <w:ind w:firstLine="0"/>
        <w:rPr>
          <w:rFonts w:ascii="Arial" w:hAnsi="Arial" w:cs="Arial"/>
          <w:sz w:val="22"/>
          <w:szCs w:val="22"/>
        </w:rPr>
      </w:pPr>
    </w:p>
    <w:p w14:paraId="3CCD0915" w14:textId="1EDF5AC1" w:rsidR="000610BD" w:rsidRDefault="00FF50CF" w:rsidP="00FF50CF">
      <w:pPr>
        <w:spacing w:after="0" w:line="360" w:lineRule="auto"/>
        <w:ind w:firstLine="0"/>
        <w:rPr>
          <w:rFonts w:ascii="Arial" w:hAnsi="Arial" w:cs="Arial"/>
          <w:sz w:val="22"/>
          <w:szCs w:val="22"/>
        </w:rPr>
      </w:pPr>
      <w:r w:rsidRPr="00FF50CF">
        <w:rPr>
          <w:rFonts w:ascii="Arial" w:hAnsi="Arial" w:cs="Arial"/>
          <w:sz w:val="22"/>
          <w:szCs w:val="22"/>
        </w:rPr>
        <w:t>In representing persons, cultural heritage institutions must draw lines around what a person is, even if somewhat unintentionally. These definitions are most explicit in knowledge organizing tools and systems used to help institutions describe, categorize, and represent resources of interest (Zeng 2008</w:t>
      </w:r>
      <w:r w:rsidR="00AA58F9">
        <w:rPr>
          <w:rFonts w:ascii="Arial" w:hAnsi="Arial" w:cs="Arial"/>
          <w:sz w:val="22"/>
          <w:szCs w:val="22"/>
        </w:rPr>
        <w:t>, 161</w:t>
      </w:r>
      <w:r w:rsidRPr="00FF50CF">
        <w:rPr>
          <w:rFonts w:ascii="Arial" w:hAnsi="Arial" w:cs="Arial"/>
          <w:sz w:val="22"/>
          <w:szCs w:val="22"/>
        </w:rPr>
        <w:t>). As such, we chose these tools and systems as our site of examination, systematically and critically reviewing and comparing their conceptions of personhood. From our findings we offer a preliminary inventory of dimensions of personhood illustrating key points of agreement and conflict around this concept within just this one domain. These dimensions provide a means for further, future work examining personhood in cultural heritage as well as other spaces.</w:t>
      </w:r>
    </w:p>
    <w:p w14:paraId="319A1ACE" w14:textId="77777777" w:rsidR="00FF50CF" w:rsidRPr="00DC088A" w:rsidRDefault="00FF50CF" w:rsidP="00FF50CF">
      <w:pPr>
        <w:spacing w:after="0" w:line="360" w:lineRule="auto"/>
        <w:ind w:firstLine="0"/>
        <w:rPr>
          <w:rFonts w:ascii="Arial" w:hAnsi="Arial" w:cs="Arial"/>
          <w:sz w:val="22"/>
          <w:szCs w:val="22"/>
        </w:rPr>
      </w:pPr>
    </w:p>
    <w:p w14:paraId="60155B71" w14:textId="2E61E60D" w:rsidR="002B6B49" w:rsidRPr="002B6B49" w:rsidRDefault="000610BD" w:rsidP="00DD6D40">
      <w:pPr>
        <w:pStyle w:val="Heading1"/>
        <w:spacing w:after="240"/>
      </w:pPr>
      <w:r w:rsidRPr="00DC088A">
        <w:t xml:space="preserve">Research </w:t>
      </w:r>
      <w:r w:rsidR="00FF50CF">
        <w:t>Q</w:t>
      </w:r>
      <w:r w:rsidRPr="00DC088A">
        <w:t>uestions &amp; Methodology</w:t>
      </w:r>
    </w:p>
    <w:p w14:paraId="3AE6FC42" w14:textId="77777777"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In this study we set out to explore the ways in which personhood is construed within cultural heritage knowledge organization. Taking the form of conceptual models, controlled vocabularies, and cataloging codes, the systems and tools used for knowledge organizing provide a means for producing data about entities of interest and, as such, also serve as sites of definition.</w:t>
      </w:r>
    </w:p>
    <w:p w14:paraId="4A684DDD" w14:textId="77777777" w:rsidR="00FF50CF" w:rsidRPr="00FF50CF" w:rsidRDefault="00FF50CF" w:rsidP="00FF50CF">
      <w:pPr>
        <w:spacing w:after="0" w:line="360" w:lineRule="auto"/>
        <w:ind w:firstLine="0"/>
        <w:rPr>
          <w:rFonts w:ascii="Arial" w:hAnsi="Arial" w:cs="Arial"/>
          <w:sz w:val="22"/>
          <w:szCs w:val="22"/>
        </w:rPr>
      </w:pPr>
    </w:p>
    <w:p w14:paraId="1E7FE19E" w14:textId="77777777"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We canvassed a range of cultural heritage systems and tools that are used for representing information about persons and their identities. These included conceptual models, such as the Library Reference Model (LRM), content standards, such as Cataloging Cultural Objects (CCO), and ontologies, such as Friend-of-a-Friend (FOAF). Our rationale in choosing specific sources included their familiarity and usage in libraries and other cultural heritage settings, their accessibility, and their inclusion of a formal definition for the concept of “person” along with concrete examples.</w:t>
      </w:r>
    </w:p>
    <w:p w14:paraId="2AFF2512" w14:textId="77777777" w:rsidR="00FF50CF" w:rsidRPr="00FF50CF" w:rsidRDefault="00FF50CF" w:rsidP="00FF50CF">
      <w:pPr>
        <w:spacing w:after="0" w:line="360" w:lineRule="auto"/>
        <w:ind w:firstLine="0"/>
        <w:rPr>
          <w:rFonts w:ascii="Arial" w:hAnsi="Arial" w:cs="Arial"/>
          <w:sz w:val="22"/>
          <w:szCs w:val="22"/>
        </w:rPr>
      </w:pPr>
    </w:p>
    <w:p w14:paraId="207F2EC1" w14:textId="75B91740" w:rsid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In total, we identified nine sources. From their official specifications we then collected the full definition of “person.” These sources, along with key phrases excerpted from their definitions, are provided in Table 1.</w:t>
      </w:r>
    </w:p>
    <w:p w14:paraId="58BDE471" w14:textId="3AEE2BB6" w:rsidR="00FF50CF" w:rsidRDefault="00FF50CF" w:rsidP="00FF50CF">
      <w:pPr>
        <w:spacing w:after="0" w:line="360" w:lineRule="auto"/>
        <w:ind w:firstLine="0"/>
        <w:rPr>
          <w:rFonts w:ascii="Arial" w:hAnsi="Arial" w:cs="Arial"/>
          <w:sz w:val="22"/>
          <w:szCs w:val="22"/>
        </w:rPr>
      </w:pPr>
    </w:p>
    <w:p w14:paraId="5E0FCB3E" w14:textId="39FB5F69" w:rsidR="00F12625" w:rsidRPr="00F12625" w:rsidRDefault="00F12625" w:rsidP="00F12625">
      <w:pPr>
        <w:spacing w:after="0" w:line="360" w:lineRule="auto"/>
        <w:ind w:firstLine="0"/>
        <w:jc w:val="center"/>
        <w:rPr>
          <w:rFonts w:ascii="Arial" w:hAnsi="Arial" w:cs="Arial"/>
        </w:rPr>
      </w:pPr>
      <w:r w:rsidRPr="001D5829">
        <w:rPr>
          <w:rFonts w:ascii="Arial" w:hAnsi="Arial" w:cs="Arial"/>
        </w:rPr>
        <w:t xml:space="preserve">Table 1. </w:t>
      </w:r>
      <w:r w:rsidRPr="00F12625">
        <w:rPr>
          <w:rFonts w:ascii="Arial" w:hAnsi="Arial" w:cs="Arial"/>
        </w:rPr>
        <w:t>Sources and excerpts from “person” definitions</w:t>
      </w:r>
      <w:r>
        <w:rPr>
          <w:rFonts w:ascii="Arial" w:hAnsi="Arial" w:cs="Arial"/>
        </w:rPr>
        <w:t>.</w:t>
      </w:r>
    </w:p>
    <w:tbl>
      <w:tblPr>
        <w:tblW w:w="8745" w:type="dxa"/>
        <w:jc w:val="center"/>
        <w:tblLook w:val="04A0" w:firstRow="1" w:lastRow="0" w:firstColumn="1" w:lastColumn="0" w:noHBand="0" w:noVBand="1"/>
      </w:tblPr>
      <w:tblGrid>
        <w:gridCol w:w="2625"/>
        <w:gridCol w:w="6120"/>
      </w:tblGrid>
      <w:tr w:rsidR="003B1FB6" w:rsidRPr="00566D3F" w14:paraId="19D0529D" w14:textId="77777777" w:rsidTr="003B1FB6">
        <w:trPr>
          <w:trHeight w:val="290"/>
          <w:jc w:val="center"/>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0F1B9" w14:textId="77777777" w:rsidR="003B1FB6" w:rsidRPr="00F12625" w:rsidRDefault="003B1FB6" w:rsidP="00F12625">
            <w:pPr>
              <w:ind w:firstLine="0"/>
              <w:jc w:val="left"/>
              <w:rPr>
                <w:rFonts w:ascii="Arial" w:hAnsi="Arial" w:cs="Arial"/>
                <w:b/>
                <w:bCs/>
                <w:color w:val="000000"/>
              </w:rPr>
            </w:pPr>
            <w:r w:rsidRPr="00F12625">
              <w:rPr>
                <w:rFonts w:ascii="Arial" w:hAnsi="Arial" w:cs="Arial"/>
                <w:b/>
                <w:bCs/>
                <w:color w:val="000000"/>
              </w:rPr>
              <w:t>System/Tool</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14:paraId="15A5EF0C" w14:textId="77777777" w:rsidR="003B1FB6" w:rsidRPr="00F12625" w:rsidRDefault="003B1FB6" w:rsidP="00F12625">
            <w:pPr>
              <w:ind w:firstLine="0"/>
              <w:jc w:val="left"/>
              <w:rPr>
                <w:rFonts w:ascii="Arial" w:hAnsi="Arial" w:cs="Arial"/>
                <w:b/>
                <w:bCs/>
                <w:color w:val="000000"/>
              </w:rPr>
            </w:pPr>
            <w:r w:rsidRPr="00F12625">
              <w:rPr>
                <w:rFonts w:ascii="Arial" w:hAnsi="Arial" w:cs="Arial"/>
                <w:b/>
                <w:bCs/>
                <w:color w:val="000000"/>
              </w:rPr>
              <w:t>Definition Key Phrases</w:t>
            </w:r>
          </w:p>
        </w:tc>
      </w:tr>
      <w:tr w:rsidR="003B1FB6" w:rsidRPr="00566D3F" w14:paraId="5C73192C" w14:textId="77777777" w:rsidTr="003B1FB6">
        <w:trPr>
          <w:trHeight w:val="29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67FE0DCD"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BIBFRAME</w:t>
            </w:r>
          </w:p>
        </w:tc>
        <w:tc>
          <w:tcPr>
            <w:tcW w:w="6120" w:type="dxa"/>
            <w:tcBorders>
              <w:top w:val="nil"/>
              <w:left w:val="nil"/>
              <w:bottom w:val="single" w:sz="4" w:space="0" w:color="auto"/>
              <w:right w:val="single" w:sz="4" w:space="0" w:color="auto"/>
            </w:tcBorders>
            <w:shd w:val="clear" w:color="auto" w:fill="auto"/>
            <w:vAlign w:val="bottom"/>
            <w:hideMark/>
          </w:tcPr>
          <w:p w14:paraId="1864573A"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Individual or identity established by an individual (either alone or in collaboration)</w:t>
            </w:r>
          </w:p>
        </w:tc>
      </w:tr>
      <w:tr w:rsidR="003B1FB6" w:rsidRPr="00566D3F" w14:paraId="1468BEAF" w14:textId="77777777" w:rsidTr="003B1FB6">
        <w:trPr>
          <w:trHeight w:val="79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4699834D"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Cataloging Cultural Objects (CCO)</w:t>
            </w:r>
          </w:p>
        </w:tc>
        <w:tc>
          <w:tcPr>
            <w:tcW w:w="6120" w:type="dxa"/>
            <w:tcBorders>
              <w:top w:val="nil"/>
              <w:left w:val="nil"/>
              <w:bottom w:val="single" w:sz="4" w:space="0" w:color="auto"/>
              <w:right w:val="single" w:sz="4" w:space="0" w:color="auto"/>
            </w:tcBorders>
            <w:shd w:val="clear" w:color="auto" w:fill="auto"/>
            <w:vAlign w:val="bottom"/>
            <w:hideMark/>
          </w:tcPr>
          <w:p w14:paraId="0A4F0468"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...individuals whose biographies are well known ... and creators with identified oeuvres but whose names are unknown and whose biography is estimated or surmised ... limited to real, historical persons</w:t>
            </w:r>
          </w:p>
        </w:tc>
      </w:tr>
      <w:tr w:rsidR="003B1FB6" w:rsidRPr="00566D3F" w14:paraId="642471BD" w14:textId="77777777" w:rsidTr="003B1FB6">
        <w:trPr>
          <w:trHeight w:val="79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1167FC32"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lastRenderedPageBreak/>
              <w:t>CIDOC Conceptual Reference Model (CIDOC-CRM)</w:t>
            </w:r>
          </w:p>
        </w:tc>
        <w:tc>
          <w:tcPr>
            <w:tcW w:w="6120" w:type="dxa"/>
            <w:tcBorders>
              <w:top w:val="nil"/>
              <w:left w:val="nil"/>
              <w:bottom w:val="single" w:sz="4" w:space="0" w:color="auto"/>
              <w:right w:val="single" w:sz="4" w:space="0" w:color="auto"/>
            </w:tcBorders>
            <w:shd w:val="clear" w:color="auto" w:fill="auto"/>
            <w:vAlign w:val="bottom"/>
            <w:hideMark/>
          </w:tcPr>
          <w:p w14:paraId="5D42BB9E"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...real persons who live or are assumed to have lived. Legendary figures that may have existed, such as Ulysses and King Arthur, fall into this class if the documentation refers to them as historical figures.</w:t>
            </w:r>
          </w:p>
        </w:tc>
      </w:tr>
      <w:tr w:rsidR="003B1FB6" w:rsidRPr="00566D3F" w14:paraId="51A766A0" w14:textId="77777777" w:rsidTr="003B1FB6">
        <w:trPr>
          <w:trHeight w:val="57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652C5B97"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Describing Archives: A Content Standard (DACS)</w:t>
            </w:r>
          </w:p>
        </w:tc>
        <w:tc>
          <w:tcPr>
            <w:tcW w:w="6120" w:type="dxa"/>
            <w:tcBorders>
              <w:top w:val="nil"/>
              <w:left w:val="nil"/>
              <w:bottom w:val="single" w:sz="4" w:space="0" w:color="auto"/>
              <w:right w:val="single" w:sz="4" w:space="0" w:color="auto"/>
            </w:tcBorders>
            <w:shd w:val="clear" w:color="auto" w:fill="auto"/>
            <w:vAlign w:val="bottom"/>
            <w:hideMark/>
          </w:tcPr>
          <w:p w14:paraId="71C29A53"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an individual of the human species … these definitions disallow the creation of headings for personas, bibliographic identities, and animals</w:t>
            </w:r>
          </w:p>
        </w:tc>
      </w:tr>
      <w:tr w:rsidR="003B1FB6" w:rsidRPr="00566D3F" w14:paraId="44481AEF" w14:textId="77777777" w:rsidTr="003B1FB6">
        <w:trPr>
          <w:trHeight w:val="53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1E18E75C"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Friend-of-a-Friend (FOAF)</w:t>
            </w:r>
          </w:p>
        </w:tc>
        <w:tc>
          <w:tcPr>
            <w:tcW w:w="6120" w:type="dxa"/>
            <w:tcBorders>
              <w:top w:val="nil"/>
              <w:left w:val="nil"/>
              <w:bottom w:val="single" w:sz="4" w:space="0" w:color="auto"/>
              <w:right w:val="single" w:sz="4" w:space="0" w:color="auto"/>
            </w:tcBorders>
            <w:shd w:val="clear" w:color="auto" w:fill="auto"/>
            <w:vAlign w:val="bottom"/>
            <w:hideMark/>
          </w:tcPr>
          <w:p w14:paraId="3C708917"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 xml:space="preserve">Something is a Person if it is a person. We don't </w:t>
            </w:r>
            <w:proofErr w:type="spellStart"/>
            <w:r w:rsidRPr="00F12625">
              <w:rPr>
                <w:rFonts w:ascii="Arial" w:hAnsi="Arial" w:cs="Arial"/>
                <w:color w:val="000000"/>
              </w:rPr>
              <w:t>nitpic</w:t>
            </w:r>
            <w:proofErr w:type="spellEnd"/>
            <w:r w:rsidRPr="00F12625">
              <w:rPr>
                <w:rFonts w:ascii="Arial" w:hAnsi="Arial" w:cs="Arial"/>
                <w:color w:val="000000"/>
              </w:rPr>
              <w:t xml:space="preserve"> about whether they're alive, dead, real, or imaginary. </w:t>
            </w:r>
          </w:p>
        </w:tc>
      </w:tr>
      <w:tr w:rsidR="003B1FB6" w:rsidRPr="00566D3F" w14:paraId="29FB5BF0" w14:textId="77777777" w:rsidTr="003B1FB6">
        <w:trPr>
          <w:trHeight w:val="53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1D3E2C07"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Library Reference Model (LRM)</w:t>
            </w:r>
          </w:p>
        </w:tc>
        <w:tc>
          <w:tcPr>
            <w:tcW w:w="6120" w:type="dxa"/>
            <w:tcBorders>
              <w:top w:val="nil"/>
              <w:left w:val="nil"/>
              <w:bottom w:val="single" w:sz="4" w:space="0" w:color="auto"/>
              <w:right w:val="single" w:sz="4" w:space="0" w:color="auto"/>
            </w:tcBorders>
            <w:shd w:val="clear" w:color="auto" w:fill="auto"/>
            <w:vAlign w:val="bottom"/>
            <w:hideMark/>
          </w:tcPr>
          <w:p w14:paraId="752BBCEA"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...real persons who live or are assumed to have lived. Strict proof of the existence of a person is not required… however, figures generally considered fictional, literary, or purely legendary are not considered instances of the person entity.</w:t>
            </w:r>
          </w:p>
        </w:tc>
      </w:tr>
      <w:tr w:rsidR="003B1FB6" w:rsidRPr="00566D3F" w14:paraId="08E5BDFE" w14:textId="77777777" w:rsidTr="003B1FB6">
        <w:trPr>
          <w:trHeight w:val="57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2B02D4A4"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Resource Description and Access (RDA)</w:t>
            </w:r>
          </w:p>
        </w:tc>
        <w:tc>
          <w:tcPr>
            <w:tcW w:w="6120" w:type="dxa"/>
            <w:tcBorders>
              <w:top w:val="nil"/>
              <w:left w:val="nil"/>
              <w:bottom w:val="single" w:sz="4" w:space="0" w:color="auto"/>
              <w:right w:val="single" w:sz="4" w:space="0" w:color="auto"/>
            </w:tcBorders>
            <w:shd w:val="clear" w:color="auto" w:fill="auto"/>
            <w:vAlign w:val="bottom"/>
            <w:hideMark/>
          </w:tcPr>
          <w:p w14:paraId="26A451E0"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An individual or an identity established by an individual, either alone or in collaboration with one or more other individuals</w:t>
            </w:r>
          </w:p>
        </w:tc>
      </w:tr>
      <w:tr w:rsidR="003B1FB6" w:rsidRPr="00566D3F" w14:paraId="5A94C5C8" w14:textId="77777777" w:rsidTr="003B1FB6">
        <w:trPr>
          <w:trHeight w:val="29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70B674EA"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Schema.org</w:t>
            </w:r>
          </w:p>
        </w:tc>
        <w:tc>
          <w:tcPr>
            <w:tcW w:w="6120" w:type="dxa"/>
            <w:tcBorders>
              <w:top w:val="nil"/>
              <w:left w:val="nil"/>
              <w:bottom w:val="single" w:sz="4" w:space="0" w:color="auto"/>
              <w:right w:val="single" w:sz="4" w:space="0" w:color="auto"/>
            </w:tcBorders>
            <w:shd w:val="clear" w:color="auto" w:fill="auto"/>
            <w:vAlign w:val="bottom"/>
            <w:hideMark/>
          </w:tcPr>
          <w:p w14:paraId="22B02554"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A person (alive, dead, undead, or fictional)</w:t>
            </w:r>
          </w:p>
        </w:tc>
      </w:tr>
      <w:tr w:rsidR="003B1FB6" w:rsidRPr="00566D3F" w14:paraId="2F726FC3" w14:textId="77777777" w:rsidTr="003B1FB6">
        <w:trPr>
          <w:trHeight w:val="290"/>
          <w:jc w:val="center"/>
        </w:trPr>
        <w:tc>
          <w:tcPr>
            <w:tcW w:w="2625" w:type="dxa"/>
            <w:tcBorders>
              <w:top w:val="nil"/>
              <w:left w:val="single" w:sz="4" w:space="0" w:color="auto"/>
              <w:bottom w:val="single" w:sz="4" w:space="0" w:color="auto"/>
              <w:right w:val="single" w:sz="4" w:space="0" w:color="auto"/>
            </w:tcBorders>
            <w:shd w:val="clear" w:color="auto" w:fill="auto"/>
            <w:vAlign w:val="bottom"/>
            <w:hideMark/>
          </w:tcPr>
          <w:p w14:paraId="18746153" w14:textId="77777777" w:rsidR="003B1FB6" w:rsidRPr="00F12625" w:rsidRDefault="003B1FB6" w:rsidP="00F12625">
            <w:pPr>
              <w:ind w:firstLine="0"/>
              <w:jc w:val="left"/>
              <w:rPr>
                <w:rFonts w:ascii="Arial" w:hAnsi="Arial" w:cs="Arial"/>
                <w:color w:val="000000"/>
              </w:rPr>
            </w:pPr>
            <w:r w:rsidRPr="00F12625">
              <w:rPr>
                <w:rFonts w:ascii="Arial" w:hAnsi="Arial" w:cs="Arial"/>
                <w:color w:val="000000"/>
              </w:rPr>
              <w:t>WIKIDATA</w:t>
            </w:r>
          </w:p>
        </w:tc>
        <w:tc>
          <w:tcPr>
            <w:tcW w:w="6120" w:type="dxa"/>
            <w:tcBorders>
              <w:top w:val="nil"/>
              <w:left w:val="nil"/>
              <w:bottom w:val="single" w:sz="4" w:space="0" w:color="auto"/>
              <w:right w:val="single" w:sz="4" w:space="0" w:color="auto"/>
            </w:tcBorders>
            <w:shd w:val="clear" w:color="auto" w:fill="auto"/>
            <w:vAlign w:val="bottom"/>
            <w:hideMark/>
          </w:tcPr>
          <w:p w14:paraId="43C6748F" w14:textId="77777777" w:rsidR="003B1FB6" w:rsidRPr="00F12625" w:rsidRDefault="003B1FB6" w:rsidP="00F12625">
            <w:pPr>
              <w:ind w:firstLine="0"/>
              <w:jc w:val="left"/>
              <w:rPr>
                <w:rFonts w:ascii="Arial" w:hAnsi="Arial" w:cs="Arial"/>
                <w:color w:val="202122"/>
              </w:rPr>
            </w:pPr>
            <w:r w:rsidRPr="00F12625">
              <w:rPr>
                <w:rFonts w:ascii="Arial" w:hAnsi="Arial" w:cs="Arial"/>
                <w:color w:val="202122"/>
              </w:rPr>
              <w:t xml:space="preserve">being that has certain capacities or attributes constituting personhood </w:t>
            </w:r>
          </w:p>
        </w:tc>
      </w:tr>
    </w:tbl>
    <w:p w14:paraId="698F8B5B" w14:textId="42E20A82" w:rsidR="00FF50CF" w:rsidRDefault="00FF50CF" w:rsidP="00FF50CF">
      <w:pPr>
        <w:spacing w:after="0" w:line="360" w:lineRule="auto"/>
        <w:ind w:firstLine="0"/>
        <w:rPr>
          <w:rFonts w:ascii="Arial" w:hAnsi="Arial" w:cs="Arial"/>
          <w:sz w:val="22"/>
          <w:szCs w:val="22"/>
        </w:rPr>
      </w:pPr>
    </w:p>
    <w:p w14:paraId="74B9FF01" w14:textId="569389DE" w:rsid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We systematically examined the full definition from each source, comparing and contrasting them in order to identify key criteria by which an entity might or might not be considered a person. We then worked to group these criteria into broader themes capable of capturing integral aspects of personhood in this domain.</w:t>
      </w:r>
    </w:p>
    <w:p w14:paraId="235F62BD" w14:textId="77777777" w:rsidR="00FF50CF" w:rsidRDefault="00FF50CF" w:rsidP="00FF50CF">
      <w:pPr>
        <w:spacing w:after="0" w:line="360" w:lineRule="auto"/>
        <w:ind w:firstLine="0"/>
        <w:rPr>
          <w:rFonts w:ascii="Arial" w:hAnsi="Arial" w:cs="Arial"/>
          <w:b/>
          <w:sz w:val="22"/>
          <w:szCs w:val="22"/>
        </w:rPr>
      </w:pPr>
    </w:p>
    <w:p w14:paraId="7F22B7AE" w14:textId="61379812" w:rsidR="00FF50CF" w:rsidRPr="00DC088A" w:rsidRDefault="00FF50CF" w:rsidP="00DD6D40">
      <w:pPr>
        <w:pStyle w:val="Heading1"/>
        <w:spacing w:after="240"/>
      </w:pPr>
      <w:r w:rsidRPr="00DC088A">
        <w:t>Research Results</w:t>
      </w:r>
      <w:r>
        <w:t xml:space="preserve"> &amp; </w:t>
      </w:r>
      <w:r w:rsidRPr="00571B2B">
        <w:t>Discussion</w:t>
      </w:r>
    </w:p>
    <w:p w14:paraId="13A6C00F" w14:textId="224ACCC0" w:rsidR="00FF50CF" w:rsidRDefault="00FF50CF" w:rsidP="00DD6D40">
      <w:pPr>
        <w:spacing w:after="240" w:line="360" w:lineRule="auto"/>
        <w:ind w:firstLine="0"/>
        <w:rPr>
          <w:rFonts w:ascii="Arial" w:hAnsi="Arial" w:cs="Arial"/>
          <w:sz w:val="22"/>
          <w:szCs w:val="22"/>
        </w:rPr>
      </w:pPr>
      <w:r w:rsidRPr="00FF50CF">
        <w:rPr>
          <w:rFonts w:ascii="Arial" w:hAnsi="Arial" w:cs="Arial"/>
          <w:sz w:val="22"/>
          <w:szCs w:val="22"/>
        </w:rPr>
        <w:t>From these criteria around personhood, we distilled an initial inventory of dimensions of personhood, including life, actuality, biology, agency, and individuality (see Table 2).</w:t>
      </w:r>
    </w:p>
    <w:p w14:paraId="5056685F" w14:textId="77777777" w:rsidR="002B6B49" w:rsidRDefault="002B6B49" w:rsidP="002B6B49">
      <w:pPr>
        <w:spacing w:after="0" w:line="360" w:lineRule="auto"/>
        <w:ind w:firstLine="0"/>
        <w:rPr>
          <w:rFonts w:ascii="Arial" w:hAnsi="Arial" w:cs="Arial"/>
          <w:sz w:val="22"/>
          <w:szCs w:val="22"/>
        </w:rPr>
      </w:pPr>
    </w:p>
    <w:p w14:paraId="2A9D9FDE" w14:textId="3304D9CA" w:rsidR="00FF50CF" w:rsidRPr="002B6B49" w:rsidRDefault="002B6B49" w:rsidP="002B6B49">
      <w:pPr>
        <w:spacing w:after="0" w:line="360" w:lineRule="auto"/>
        <w:ind w:firstLine="0"/>
        <w:jc w:val="center"/>
        <w:rPr>
          <w:rFonts w:ascii="Arial" w:hAnsi="Arial" w:cs="Arial"/>
        </w:rPr>
      </w:pPr>
      <w:r w:rsidRPr="001D5829">
        <w:rPr>
          <w:rFonts w:ascii="Arial" w:hAnsi="Arial" w:cs="Arial"/>
        </w:rPr>
        <w:t xml:space="preserve">Table </w:t>
      </w:r>
      <w:r>
        <w:rPr>
          <w:rFonts w:ascii="Arial" w:hAnsi="Arial" w:cs="Arial"/>
        </w:rPr>
        <w:t>2</w:t>
      </w:r>
      <w:r w:rsidRPr="001D5829">
        <w:rPr>
          <w:rFonts w:ascii="Arial" w:hAnsi="Arial" w:cs="Arial"/>
        </w:rPr>
        <w:t xml:space="preserve">. </w:t>
      </w:r>
      <w:r w:rsidRPr="002B6B49">
        <w:rPr>
          <w:rFonts w:ascii="Arial" w:hAnsi="Arial" w:cs="Arial"/>
        </w:rPr>
        <w:t>Dimensions of personhood in cultural heritage</w:t>
      </w:r>
      <w:r>
        <w:rPr>
          <w:rFonts w:ascii="Arial" w:hAnsi="Arial" w:cs="Arial"/>
        </w:rPr>
        <w:t>.</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5" w:type="dxa"/>
          <w:bottom w:w="30" w:type="dxa"/>
          <w:right w:w="15" w:type="dxa"/>
        </w:tblCellMar>
        <w:tblLook w:val="04A0" w:firstRow="1" w:lastRow="0" w:firstColumn="1" w:lastColumn="0" w:noHBand="0" w:noVBand="1"/>
      </w:tblPr>
      <w:tblGrid>
        <w:gridCol w:w="1525"/>
        <w:gridCol w:w="3510"/>
        <w:gridCol w:w="3330"/>
      </w:tblGrid>
      <w:tr w:rsidR="002B6B49" w:rsidRPr="001F655A" w14:paraId="24E8C004" w14:textId="77777777" w:rsidTr="002B6B49">
        <w:trPr>
          <w:trHeight w:val="282"/>
          <w:jc w:val="center"/>
        </w:trPr>
        <w:tc>
          <w:tcPr>
            <w:tcW w:w="1525" w:type="dxa"/>
            <w:noWrap/>
            <w:vAlign w:val="bottom"/>
            <w:hideMark/>
          </w:tcPr>
          <w:p w14:paraId="20615DD3" w14:textId="77777777" w:rsidR="002B6B49" w:rsidRPr="002B6B49" w:rsidRDefault="002B6B49" w:rsidP="002B6B49">
            <w:pPr>
              <w:jc w:val="left"/>
              <w:rPr>
                <w:rFonts w:ascii="Arial" w:hAnsi="Arial" w:cs="Arial"/>
                <w:b/>
                <w:color w:val="000000"/>
                <w:lang w:eastAsia="zh-CN"/>
              </w:rPr>
            </w:pPr>
            <w:r w:rsidRPr="002B6B49">
              <w:rPr>
                <w:rFonts w:ascii="Arial" w:hAnsi="Arial" w:cs="Arial"/>
                <w:b/>
                <w:color w:val="000000"/>
                <w:lang w:eastAsia="zh-CN"/>
              </w:rPr>
              <w:t>Dimension</w:t>
            </w:r>
          </w:p>
        </w:tc>
        <w:tc>
          <w:tcPr>
            <w:tcW w:w="3510" w:type="dxa"/>
            <w:noWrap/>
            <w:vAlign w:val="bottom"/>
            <w:hideMark/>
          </w:tcPr>
          <w:p w14:paraId="525932F4" w14:textId="77777777" w:rsidR="002B6B49" w:rsidRPr="002B6B49" w:rsidRDefault="002B6B49" w:rsidP="002B6B49">
            <w:pPr>
              <w:jc w:val="left"/>
              <w:rPr>
                <w:rFonts w:ascii="Arial" w:hAnsi="Arial" w:cs="Arial"/>
                <w:b/>
                <w:color w:val="000000"/>
                <w:lang w:eastAsia="zh-CN"/>
              </w:rPr>
            </w:pPr>
            <w:r w:rsidRPr="002B6B49">
              <w:rPr>
                <w:rFonts w:ascii="Arial" w:hAnsi="Arial" w:cs="Arial"/>
                <w:b/>
                <w:color w:val="000000"/>
                <w:lang w:eastAsia="zh-CN"/>
              </w:rPr>
              <w:t>What Qualifies as a Person?</w:t>
            </w:r>
          </w:p>
        </w:tc>
        <w:tc>
          <w:tcPr>
            <w:tcW w:w="3330" w:type="dxa"/>
            <w:noWrap/>
            <w:vAlign w:val="bottom"/>
            <w:hideMark/>
          </w:tcPr>
          <w:p w14:paraId="4304A989" w14:textId="77777777" w:rsidR="002B6B49" w:rsidRPr="002B6B49" w:rsidRDefault="002B6B49" w:rsidP="002B6B49">
            <w:pPr>
              <w:jc w:val="left"/>
              <w:rPr>
                <w:rFonts w:ascii="Arial" w:hAnsi="Arial" w:cs="Arial"/>
                <w:b/>
                <w:color w:val="000000"/>
                <w:lang w:eastAsia="zh-CN"/>
              </w:rPr>
            </w:pPr>
            <w:r w:rsidRPr="002B6B49">
              <w:rPr>
                <w:rFonts w:ascii="Arial" w:hAnsi="Arial" w:cs="Arial"/>
                <w:b/>
                <w:color w:val="000000"/>
                <w:lang w:eastAsia="zh-CN"/>
              </w:rPr>
              <w:t>What Does Not?</w:t>
            </w:r>
          </w:p>
        </w:tc>
      </w:tr>
      <w:tr w:rsidR="002B6B49" w:rsidRPr="001F655A" w14:paraId="319763A9" w14:textId="77777777" w:rsidTr="002B6B49">
        <w:trPr>
          <w:trHeight w:val="288"/>
          <w:jc w:val="center"/>
        </w:trPr>
        <w:tc>
          <w:tcPr>
            <w:tcW w:w="1525" w:type="dxa"/>
            <w:noWrap/>
            <w:vAlign w:val="bottom"/>
            <w:hideMark/>
          </w:tcPr>
          <w:p w14:paraId="101B2BBA"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Life</w:t>
            </w:r>
          </w:p>
        </w:tc>
        <w:tc>
          <w:tcPr>
            <w:tcW w:w="3510" w:type="dxa"/>
            <w:noWrap/>
            <w:vAlign w:val="bottom"/>
            <w:hideMark/>
          </w:tcPr>
          <w:p w14:paraId="7D6942FA"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 xml:space="preserve">living, once living, </w:t>
            </w:r>
          </w:p>
          <w:p w14:paraId="4A3B6ACE"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assumed to have lived</w:t>
            </w:r>
          </w:p>
        </w:tc>
        <w:tc>
          <w:tcPr>
            <w:tcW w:w="3330" w:type="dxa"/>
            <w:noWrap/>
            <w:vAlign w:val="bottom"/>
            <w:hideMark/>
          </w:tcPr>
          <w:p w14:paraId="647D2F95"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fictional, not/never living</w:t>
            </w:r>
          </w:p>
        </w:tc>
      </w:tr>
      <w:tr w:rsidR="002B6B49" w:rsidRPr="001F655A" w14:paraId="4FD9A503" w14:textId="77777777" w:rsidTr="002B6B49">
        <w:trPr>
          <w:trHeight w:val="288"/>
          <w:jc w:val="center"/>
        </w:trPr>
        <w:tc>
          <w:tcPr>
            <w:tcW w:w="1525" w:type="dxa"/>
            <w:noWrap/>
            <w:vAlign w:val="bottom"/>
          </w:tcPr>
          <w:p w14:paraId="17D71FE4"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 xml:space="preserve">Actuality </w:t>
            </w:r>
          </w:p>
        </w:tc>
        <w:tc>
          <w:tcPr>
            <w:tcW w:w="3510" w:type="dxa"/>
            <w:noWrap/>
            <w:vAlign w:val="bottom"/>
          </w:tcPr>
          <w:p w14:paraId="32EF2AF9"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real, exists, existed</w:t>
            </w:r>
          </w:p>
        </w:tc>
        <w:tc>
          <w:tcPr>
            <w:tcW w:w="3330" w:type="dxa"/>
            <w:noWrap/>
            <w:vAlign w:val="bottom"/>
          </w:tcPr>
          <w:p w14:paraId="1C504E54"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fictional, imaginary</w:t>
            </w:r>
          </w:p>
        </w:tc>
      </w:tr>
      <w:tr w:rsidR="002B6B49" w:rsidRPr="001F655A" w14:paraId="6B377CC9" w14:textId="77777777" w:rsidTr="002B6B49">
        <w:trPr>
          <w:trHeight w:val="288"/>
          <w:jc w:val="center"/>
        </w:trPr>
        <w:tc>
          <w:tcPr>
            <w:tcW w:w="1525" w:type="dxa"/>
            <w:noWrap/>
            <w:vAlign w:val="bottom"/>
          </w:tcPr>
          <w:p w14:paraId="6B9C3C47"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Biology</w:t>
            </w:r>
          </w:p>
        </w:tc>
        <w:tc>
          <w:tcPr>
            <w:tcW w:w="3510" w:type="dxa"/>
            <w:noWrap/>
            <w:vAlign w:val="bottom"/>
          </w:tcPr>
          <w:p w14:paraId="63C167FA"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human species</w:t>
            </w:r>
          </w:p>
        </w:tc>
        <w:tc>
          <w:tcPr>
            <w:tcW w:w="3330" w:type="dxa"/>
            <w:noWrap/>
            <w:vAlign w:val="bottom"/>
          </w:tcPr>
          <w:p w14:paraId="0DBEC926"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animals, personas, spirits</w:t>
            </w:r>
          </w:p>
        </w:tc>
      </w:tr>
      <w:tr w:rsidR="002B6B49" w:rsidRPr="001F655A" w14:paraId="74CB4182" w14:textId="77777777" w:rsidTr="002B6B49">
        <w:trPr>
          <w:trHeight w:val="288"/>
          <w:jc w:val="center"/>
        </w:trPr>
        <w:tc>
          <w:tcPr>
            <w:tcW w:w="1525" w:type="dxa"/>
            <w:noWrap/>
            <w:vAlign w:val="bottom"/>
            <w:hideMark/>
          </w:tcPr>
          <w:p w14:paraId="4ABB1DE2"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Agency</w:t>
            </w:r>
          </w:p>
        </w:tc>
        <w:tc>
          <w:tcPr>
            <w:tcW w:w="3510" w:type="dxa"/>
            <w:noWrap/>
            <w:vAlign w:val="bottom"/>
            <w:hideMark/>
          </w:tcPr>
          <w:p w14:paraId="0776527A"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works known, creative capacity</w:t>
            </w:r>
          </w:p>
        </w:tc>
        <w:tc>
          <w:tcPr>
            <w:tcW w:w="3330" w:type="dxa"/>
            <w:noWrap/>
            <w:vAlign w:val="bottom"/>
            <w:hideMark/>
          </w:tcPr>
          <w:p w14:paraId="6146D0F5"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no creations/capacity</w:t>
            </w:r>
          </w:p>
        </w:tc>
      </w:tr>
      <w:tr w:rsidR="002B6B49" w:rsidRPr="001F655A" w14:paraId="21DCA7B5" w14:textId="77777777" w:rsidTr="002B6B49">
        <w:trPr>
          <w:trHeight w:val="288"/>
          <w:jc w:val="center"/>
        </w:trPr>
        <w:tc>
          <w:tcPr>
            <w:tcW w:w="1525" w:type="dxa"/>
            <w:noWrap/>
            <w:vAlign w:val="bottom"/>
          </w:tcPr>
          <w:p w14:paraId="349D17C1"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Individuality</w:t>
            </w:r>
          </w:p>
        </w:tc>
        <w:tc>
          <w:tcPr>
            <w:tcW w:w="3510" w:type="dxa"/>
            <w:noWrap/>
            <w:vAlign w:val="bottom"/>
          </w:tcPr>
          <w:p w14:paraId="09A526F3"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individual, individual identity</w:t>
            </w:r>
          </w:p>
        </w:tc>
        <w:tc>
          <w:tcPr>
            <w:tcW w:w="3330" w:type="dxa"/>
            <w:noWrap/>
            <w:vAlign w:val="bottom"/>
          </w:tcPr>
          <w:p w14:paraId="1FD3F7F8" w14:textId="77777777" w:rsidR="002B6B49" w:rsidRPr="002B6B49" w:rsidRDefault="002B6B49" w:rsidP="002B6B49">
            <w:pPr>
              <w:jc w:val="left"/>
              <w:rPr>
                <w:rFonts w:ascii="Arial" w:hAnsi="Arial" w:cs="Arial"/>
                <w:color w:val="000000"/>
                <w:lang w:eastAsia="zh-CN"/>
              </w:rPr>
            </w:pPr>
            <w:r w:rsidRPr="002B6B49">
              <w:rPr>
                <w:rFonts w:ascii="Arial" w:hAnsi="Arial" w:cs="Arial"/>
                <w:color w:val="000000"/>
                <w:lang w:eastAsia="zh-CN"/>
              </w:rPr>
              <w:t>unidentified, undifferentiated</w:t>
            </w:r>
          </w:p>
        </w:tc>
      </w:tr>
    </w:tbl>
    <w:p w14:paraId="7A989395" w14:textId="4A62A2AE" w:rsidR="00FF50CF" w:rsidRDefault="00FF50CF" w:rsidP="00F5153F">
      <w:pPr>
        <w:spacing w:after="0" w:line="360" w:lineRule="auto"/>
        <w:ind w:firstLine="0"/>
        <w:rPr>
          <w:rFonts w:ascii="Arial" w:hAnsi="Arial" w:cs="Arial"/>
          <w:sz w:val="22"/>
          <w:szCs w:val="22"/>
        </w:rPr>
      </w:pPr>
    </w:p>
    <w:p w14:paraId="0BDB5623" w14:textId="77777777"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 xml:space="preserve">These dimensions encapsulate key criteria for personhood while also highlighting points of alignment or conflict among its definitions in this domain. Not all definitions of personhood give equal importance to each of these five dimensions. For instance, a legendary figure such as Merlin may only meet the requirements of three of these dimensions (biology, agency, individuality). As </w:t>
      </w:r>
      <w:r w:rsidRPr="00FF50CF">
        <w:rPr>
          <w:rFonts w:ascii="Arial" w:hAnsi="Arial" w:cs="Arial"/>
          <w:sz w:val="22"/>
          <w:szCs w:val="22"/>
        </w:rPr>
        <w:lastRenderedPageBreak/>
        <w:t>such, Merlin would be considered a person in the FOAF and Schema.org ontologies, but he would not be a person in the conceptual model LRM or the content standard CCO. Implications for data sharing are already apparent: even within cultural heritage data, the same entity may gain or lose personhood depending on the system and setting.</w:t>
      </w:r>
    </w:p>
    <w:p w14:paraId="78842D44" w14:textId="77777777" w:rsidR="00FF50CF" w:rsidRPr="00FF50CF" w:rsidRDefault="00FF50CF" w:rsidP="00FF50CF">
      <w:pPr>
        <w:spacing w:after="0" w:line="360" w:lineRule="auto"/>
        <w:ind w:firstLine="0"/>
        <w:rPr>
          <w:rFonts w:ascii="Arial" w:hAnsi="Arial" w:cs="Arial"/>
          <w:sz w:val="22"/>
          <w:szCs w:val="22"/>
        </w:rPr>
      </w:pPr>
    </w:p>
    <w:p w14:paraId="4507C840" w14:textId="2A076EB0" w:rsid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In the full version of this paper, we will go beyond this initial, surface view to take a deeper analytical dive into these five dimensions. Comprehensive discussion will be guided by the larger questions: why do such differences in definition exist, and what purposes do they serve? We will provide a closer look at the scope and purpose of each of the nine consulted sources, as well as how we think the role of personhood fits into their underlying goals. From here, we will examine each of the five dimensions and how they play out across the cultural heritage domain through these knowledge organizing tools and systems. While this work will provide new insights into personhood and the implications of variation in the definitions of fundamental concepts, we also expect to offer new questions and opportunities to build off of in future work.</w:t>
      </w:r>
    </w:p>
    <w:p w14:paraId="7A2E1C85" w14:textId="77777777" w:rsidR="00FF50CF" w:rsidRDefault="00FF50CF" w:rsidP="00FF50CF">
      <w:pPr>
        <w:spacing w:after="0" w:line="360" w:lineRule="auto"/>
        <w:ind w:firstLine="0"/>
        <w:rPr>
          <w:rFonts w:ascii="Arial" w:hAnsi="Arial" w:cs="Arial"/>
          <w:sz w:val="22"/>
          <w:szCs w:val="22"/>
        </w:rPr>
      </w:pPr>
    </w:p>
    <w:p w14:paraId="7B41D0F6" w14:textId="72411ACF" w:rsidR="00FF50CF" w:rsidRPr="00DC088A" w:rsidRDefault="00FF50CF" w:rsidP="00DD6D40">
      <w:pPr>
        <w:pStyle w:val="Heading1"/>
        <w:spacing w:after="240"/>
      </w:pPr>
      <w:r w:rsidRPr="00571B2B">
        <w:t>Conclusion</w:t>
      </w:r>
    </w:p>
    <w:p w14:paraId="3F3196D7" w14:textId="77777777" w:rsidR="00FF50CF" w:rsidRP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 xml:space="preserve">Why is the concept of personhood in cultural heritage worth further examination? Discrepancies in the definition of a person are not insignificant, and represent more than a mere curiosity. We believe that understanding more about how persons are conceptualized and described can provide valuable, tangible insight into patterns of data use and reuse in the Semantic Web, along with emerging trends of interest around identity and creativity, including non-human creators, recreated actors, AI agents, and computational creativity. The dimensions of personhood presented here offer an analytical frame that can facilitate further exploration and discussion of persons, creative responsibility, and related concepts within cultural heritage, along with their significance and implications. </w:t>
      </w:r>
    </w:p>
    <w:p w14:paraId="6C749B7B" w14:textId="77777777" w:rsidR="00FF50CF" w:rsidRPr="00FF50CF" w:rsidRDefault="00FF50CF" w:rsidP="00FF50CF">
      <w:pPr>
        <w:spacing w:after="0" w:line="360" w:lineRule="auto"/>
        <w:ind w:firstLine="0"/>
        <w:rPr>
          <w:rFonts w:ascii="Arial" w:hAnsi="Arial" w:cs="Arial"/>
          <w:sz w:val="22"/>
          <w:szCs w:val="22"/>
        </w:rPr>
      </w:pPr>
    </w:p>
    <w:p w14:paraId="7D475A8D" w14:textId="6B65747B" w:rsidR="00FF50CF" w:rsidRDefault="00FF50CF" w:rsidP="00FF50CF">
      <w:pPr>
        <w:spacing w:after="0" w:line="360" w:lineRule="auto"/>
        <w:ind w:firstLine="0"/>
        <w:rPr>
          <w:rFonts w:ascii="Arial" w:hAnsi="Arial" w:cs="Arial"/>
          <w:sz w:val="22"/>
          <w:szCs w:val="22"/>
        </w:rPr>
      </w:pPr>
      <w:r w:rsidRPr="00FF50CF">
        <w:rPr>
          <w:rFonts w:ascii="Arial" w:hAnsi="Arial" w:cs="Arial"/>
          <w:sz w:val="22"/>
          <w:szCs w:val="22"/>
        </w:rPr>
        <w:t>In order to accomplish this, future work by researchers in the cultural heritage space must continue tracing out the distinctions among conceptions of personhood in two directions. First, tracing forward into contemporary practice to examine the implications for data creation, management, sharing, and reuse. And second, tracing back to better understand the historical development of the “person” in cultural heritage, and why differences have emerged or reconciled over time. The approaches and findings of these streams of work should also be applied beyond cultural heritage research to offer a fuller view of the ways in which personhood and other fundamental concepts vary across other domains.</w:t>
      </w:r>
    </w:p>
    <w:p w14:paraId="34FB3B40" w14:textId="251CDA9F" w:rsidR="00FF50CF" w:rsidRDefault="00FF50CF" w:rsidP="00FF50CF">
      <w:pPr>
        <w:spacing w:after="0" w:line="360" w:lineRule="auto"/>
        <w:ind w:firstLine="0"/>
        <w:rPr>
          <w:rFonts w:ascii="Arial" w:hAnsi="Arial" w:cs="Arial"/>
          <w:sz w:val="22"/>
          <w:szCs w:val="22"/>
        </w:rPr>
      </w:pPr>
    </w:p>
    <w:p w14:paraId="188CBF44" w14:textId="0B64F8D4" w:rsidR="000610BD" w:rsidRPr="00DC088A" w:rsidRDefault="000610BD" w:rsidP="00664FCA">
      <w:pPr>
        <w:spacing w:after="0" w:line="360" w:lineRule="auto"/>
        <w:ind w:firstLine="0"/>
        <w:rPr>
          <w:rFonts w:ascii="Arial" w:hAnsi="Arial" w:cs="Arial"/>
          <w:sz w:val="22"/>
          <w:szCs w:val="22"/>
        </w:rPr>
      </w:pPr>
    </w:p>
    <w:p w14:paraId="4314975F" w14:textId="5C23FB1D" w:rsidR="00DE68FA" w:rsidRPr="00DC088A" w:rsidRDefault="00E33D8D" w:rsidP="00FD4E82">
      <w:pPr>
        <w:pStyle w:val="Heading1"/>
        <w:spacing w:before="0" w:line="360" w:lineRule="auto"/>
        <w:rPr>
          <w:rFonts w:ascii="Arial" w:hAnsi="Arial" w:cs="Arial"/>
          <w:szCs w:val="22"/>
        </w:rPr>
      </w:pPr>
      <w:r w:rsidRPr="00DC088A">
        <w:rPr>
          <w:rFonts w:ascii="Arial" w:hAnsi="Arial" w:cs="Arial"/>
          <w:szCs w:val="22"/>
        </w:rPr>
        <w:lastRenderedPageBreak/>
        <w:t>REFERENCES</w:t>
      </w:r>
    </w:p>
    <w:p w14:paraId="607BD3FB" w14:textId="0FD9018E" w:rsidR="00DD6D40" w:rsidRPr="00DD6D40" w:rsidRDefault="00DD6D40" w:rsidP="00DD6D40">
      <w:pPr>
        <w:pStyle w:val="References"/>
        <w:spacing w:after="0" w:line="360" w:lineRule="auto"/>
        <w:rPr>
          <w:rFonts w:ascii="Arial" w:hAnsi="Arial" w:cs="Arial"/>
          <w:sz w:val="22"/>
          <w:szCs w:val="22"/>
        </w:rPr>
      </w:pPr>
      <w:proofErr w:type="spellStart"/>
      <w:r w:rsidRPr="00DD6D40">
        <w:rPr>
          <w:rFonts w:ascii="Arial" w:hAnsi="Arial" w:cs="Arial"/>
          <w:sz w:val="22"/>
          <w:szCs w:val="22"/>
        </w:rPr>
        <w:t>Carrithers</w:t>
      </w:r>
      <w:proofErr w:type="spellEnd"/>
      <w:r w:rsidRPr="00DD6D40">
        <w:rPr>
          <w:rFonts w:ascii="Arial" w:hAnsi="Arial" w:cs="Arial"/>
          <w:sz w:val="22"/>
          <w:szCs w:val="22"/>
        </w:rPr>
        <w:t>, M</w:t>
      </w:r>
      <w:r w:rsidR="0034599E">
        <w:rPr>
          <w:rFonts w:ascii="Arial" w:hAnsi="Arial" w:cs="Arial"/>
          <w:sz w:val="22"/>
          <w:szCs w:val="22"/>
        </w:rPr>
        <w:t>ichael</w:t>
      </w:r>
      <w:r w:rsidRPr="00DD6D40">
        <w:rPr>
          <w:rFonts w:ascii="Arial" w:hAnsi="Arial" w:cs="Arial"/>
          <w:sz w:val="22"/>
          <w:szCs w:val="22"/>
        </w:rPr>
        <w:t xml:space="preserve">, </w:t>
      </w:r>
      <w:r w:rsidR="0034599E">
        <w:rPr>
          <w:rFonts w:ascii="Arial" w:hAnsi="Arial" w:cs="Arial"/>
          <w:sz w:val="22"/>
          <w:szCs w:val="22"/>
        </w:rPr>
        <w:t xml:space="preserve">Steven </w:t>
      </w:r>
      <w:r w:rsidRPr="00DD6D40">
        <w:rPr>
          <w:rFonts w:ascii="Arial" w:hAnsi="Arial" w:cs="Arial"/>
          <w:sz w:val="22"/>
          <w:szCs w:val="22"/>
        </w:rPr>
        <w:t>Collins,</w:t>
      </w:r>
      <w:r w:rsidR="0034599E">
        <w:rPr>
          <w:rFonts w:ascii="Arial" w:hAnsi="Arial" w:cs="Arial"/>
          <w:sz w:val="22"/>
          <w:szCs w:val="22"/>
        </w:rPr>
        <w:t xml:space="preserve"> and Steven </w:t>
      </w:r>
      <w:proofErr w:type="spellStart"/>
      <w:r w:rsidRPr="00DD6D40">
        <w:rPr>
          <w:rFonts w:ascii="Arial" w:hAnsi="Arial" w:cs="Arial"/>
          <w:sz w:val="22"/>
          <w:szCs w:val="22"/>
        </w:rPr>
        <w:t>Lukes</w:t>
      </w:r>
      <w:proofErr w:type="spellEnd"/>
      <w:r w:rsidR="0034599E">
        <w:rPr>
          <w:rFonts w:ascii="Arial" w:hAnsi="Arial" w:cs="Arial"/>
          <w:sz w:val="22"/>
          <w:szCs w:val="22"/>
        </w:rPr>
        <w:t>, e</w:t>
      </w:r>
      <w:r w:rsidRPr="00DD6D40">
        <w:rPr>
          <w:rFonts w:ascii="Arial" w:hAnsi="Arial" w:cs="Arial"/>
          <w:sz w:val="22"/>
          <w:szCs w:val="22"/>
        </w:rPr>
        <w:t xml:space="preserve">ds. 1985. </w:t>
      </w:r>
      <w:r w:rsidRPr="0034599E">
        <w:rPr>
          <w:rFonts w:ascii="Arial" w:hAnsi="Arial" w:cs="Arial"/>
          <w:i/>
          <w:sz w:val="22"/>
          <w:szCs w:val="22"/>
        </w:rPr>
        <w:t xml:space="preserve">The </w:t>
      </w:r>
      <w:r w:rsidR="0034599E">
        <w:rPr>
          <w:rFonts w:ascii="Arial" w:hAnsi="Arial" w:cs="Arial"/>
          <w:i/>
          <w:sz w:val="22"/>
          <w:szCs w:val="22"/>
        </w:rPr>
        <w:t>C</w:t>
      </w:r>
      <w:r w:rsidRPr="0034599E">
        <w:rPr>
          <w:rFonts w:ascii="Arial" w:hAnsi="Arial" w:cs="Arial"/>
          <w:i/>
          <w:sz w:val="22"/>
          <w:szCs w:val="22"/>
        </w:rPr>
        <w:t xml:space="preserve">ategory of the </w:t>
      </w:r>
      <w:r w:rsidR="0034599E">
        <w:rPr>
          <w:rFonts w:ascii="Arial" w:hAnsi="Arial" w:cs="Arial"/>
          <w:i/>
          <w:sz w:val="22"/>
          <w:szCs w:val="22"/>
        </w:rPr>
        <w:t>P</w:t>
      </w:r>
      <w:r w:rsidRPr="0034599E">
        <w:rPr>
          <w:rFonts w:ascii="Arial" w:hAnsi="Arial" w:cs="Arial"/>
          <w:i/>
          <w:sz w:val="22"/>
          <w:szCs w:val="22"/>
        </w:rPr>
        <w:t xml:space="preserve">erson: Anthropology, </w:t>
      </w:r>
      <w:r w:rsidR="0034599E">
        <w:rPr>
          <w:rFonts w:ascii="Arial" w:hAnsi="Arial" w:cs="Arial"/>
          <w:i/>
          <w:sz w:val="22"/>
          <w:szCs w:val="22"/>
        </w:rPr>
        <w:t>P</w:t>
      </w:r>
      <w:r w:rsidRPr="0034599E">
        <w:rPr>
          <w:rFonts w:ascii="Arial" w:hAnsi="Arial" w:cs="Arial"/>
          <w:i/>
          <w:sz w:val="22"/>
          <w:szCs w:val="22"/>
        </w:rPr>
        <w:t xml:space="preserve">hilosophy, </w:t>
      </w:r>
      <w:r w:rsidR="0034599E">
        <w:rPr>
          <w:rFonts w:ascii="Arial" w:hAnsi="Arial" w:cs="Arial"/>
          <w:i/>
          <w:sz w:val="22"/>
          <w:szCs w:val="22"/>
        </w:rPr>
        <w:t>H</w:t>
      </w:r>
      <w:r w:rsidRPr="0034599E">
        <w:rPr>
          <w:rFonts w:ascii="Arial" w:hAnsi="Arial" w:cs="Arial"/>
          <w:i/>
          <w:sz w:val="22"/>
          <w:szCs w:val="22"/>
        </w:rPr>
        <w:t>istory</w:t>
      </w:r>
      <w:r w:rsidRPr="00DD6D40">
        <w:rPr>
          <w:rFonts w:ascii="Arial" w:hAnsi="Arial" w:cs="Arial"/>
          <w:sz w:val="22"/>
          <w:szCs w:val="22"/>
        </w:rPr>
        <w:t xml:space="preserve">. </w:t>
      </w:r>
      <w:r w:rsidR="0034599E">
        <w:rPr>
          <w:rFonts w:ascii="Arial" w:hAnsi="Arial" w:cs="Arial"/>
          <w:sz w:val="22"/>
          <w:szCs w:val="22"/>
        </w:rPr>
        <w:t xml:space="preserve">Cambridge: </w:t>
      </w:r>
      <w:r w:rsidRPr="00DD6D40">
        <w:rPr>
          <w:rFonts w:ascii="Arial" w:hAnsi="Arial" w:cs="Arial"/>
          <w:sz w:val="22"/>
          <w:szCs w:val="22"/>
        </w:rPr>
        <w:t>Cambridge University Press.</w:t>
      </w:r>
    </w:p>
    <w:p w14:paraId="15A77FDA" w14:textId="34B05263" w:rsidR="00DD6D40" w:rsidRDefault="00DD6D40" w:rsidP="00DD6D40">
      <w:pPr>
        <w:pStyle w:val="References"/>
        <w:spacing w:after="0" w:line="360" w:lineRule="auto"/>
        <w:rPr>
          <w:rFonts w:ascii="Arial" w:hAnsi="Arial" w:cs="Arial"/>
          <w:sz w:val="22"/>
          <w:szCs w:val="22"/>
        </w:rPr>
      </w:pPr>
      <w:r w:rsidRPr="00DD6D40">
        <w:rPr>
          <w:rFonts w:ascii="Arial" w:hAnsi="Arial" w:cs="Arial"/>
          <w:sz w:val="22"/>
          <w:szCs w:val="22"/>
        </w:rPr>
        <w:t>Dobreski, B</w:t>
      </w:r>
      <w:r w:rsidR="006B1900">
        <w:rPr>
          <w:rFonts w:ascii="Arial" w:hAnsi="Arial" w:cs="Arial"/>
          <w:sz w:val="22"/>
          <w:szCs w:val="22"/>
        </w:rPr>
        <w:t>rian</w:t>
      </w:r>
      <w:r w:rsidRPr="00DD6D40">
        <w:rPr>
          <w:rFonts w:ascii="Arial" w:hAnsi="Arial" w:cs="Arial"/>
          <w:sz w:val="22"/>
          <w:szCs w:val="22"/>
        </w:rPr>
        <w:t xml:space="preserve">, </w:t>
      </w:r>
      <w:r w:rsidR="006B1900">
        <w:rPr>
          <w:rFonts w:ascii="Arial" w:hAnsi="Arial" w:cs="Arial"/>
          <w:sz w:val="22"/>
          <w:szCs w:val="22"/>
        </w:rPr>
        <w:t xml:space="preserve">and Barbara </w:t>
      </w:r>
      <w:proofErr w:type="spellStart"/>
      <w:r w:rsidRPr="00DD6D40">
        <w:rPr>
          <w:rFonts w:ascii="Arial" w:hAnsi="Arial" w:cs="Arial"/>
          <w:sz w:val="22"/>
          <w:szCs w:val="22"/>
        </w:rPr>
        <w:t>Kwaśnik</w:t>
      </w:r>
      <w:proofErr w:type="spellEnd"/>
      <w:r w:rsidRPr="00DD6D40">
        <w:rPr>
          <w:rFonts w:ascii="Arial" w:hAnsi="Arial" w:cs="Arial"/>
          <w:sz w:val="22"/>
          <w:szCs w:val="22"/>
        </w:rPr>
        <w:t xml:space="preserve">. 2018. </w:t>
      </w:r>
      <w:r w:rsidR="006B1900">
        <w:rPr>
          <w:rFonts w:ascii="Arial" w:hAnsi="Arial" w:cs="Arial"/>
          <w:sz w:val="22"/>
          <w:szCs w:val="22"/>
        </w:rPr>
        <w:t>“</w:t>
      </w:r>
      <w:r w:rsidRPr="00DD6D40">
        <w:rPr>
          <w:rFonts w:ascii="Arial" w:hAnsi="Arial" w:cs="Arial"/>
          <w:sz w:val="22"/>
          <w:szCs w:val="22"/>
        </w:rPr>
        <w:t xml:space="preserve">Changing </w:t>
      </w:r>
      <w:r w:rsidR="006B1900">
        <w:rPr>
          <w:rFonts w:ascii="Arial" w:hAnsi="Arial" w:cs="Arial"/>
          <w:sz w:val="22"/>
          <w:szCs w:val="22"/>
        </w:rPr>
        <w:t>D</w:t>
      </w:r>
      <w:r w:rsidRPr="00DD6D40">
        <w:rPr>
          <w:rFonts w:ascii="Arial" w:hAnsi="Arial" w:cs="Arial"/>
          <w:sz w:val="22"/>
          <w:szCs w:val="22"/>
        </w:rPr>
        <w:t xml:space="preserve">epictions of </w:t>
      </w:r>
      <w:r w:rsidR="006B1900">
        <w:rPr>
          <w:rFonts w:ascii="Arial" w:hAnsi="Arial" w:cs="Arial"/>
          <w:sz w:val="22"/>
          <w:szCs w:val="22"/>
        </w:rPr>
        <w:t>P</w:t>
      </w:r>
      <w:r w:rsidRPr="00DD6D40">
        <w:rPr>
          <w:rFonts w:ascii="Arial" w:hAnsi="Arial" w:cs="Arial"/>
          <w:sz w:val="22"/>
          <w:szCs w:val="22"/>
        </w:rPr>
        <w:t xml:space="preserve">ersons in </w:t>
      </w:r>
      <w:r w:rsidR="006B1900">
        <w:rPr>
          <w:rFonts w:ascii="Arial" w:hAnsi="Arial" w:cs="Arial"/>
          <w:sz w:val="22"/>
          <w:szCs w:val="22"/>
        </w:rPr>
        <w:t>L</w:t>
      </w:r>
      <w:r w:rsidRPr="00DD6D40">
        <w:rPr>
          <w:rFonts w:ascii="Arial" w:hAnsi="Arial" w:cs="Arial"/>
          <w:sz w:val="22"/>
          <w:szCs w:val="22"/>
        </w:rPr>
        <w:t xml:space="preserve">ibrary </w:t>
      </w:r>
      <w:r w:rsidR="006B1900">
        <w:rPr>
          <w:rFonts w:ascii="Arial" w:hAnsi="Arial" w:cs="Arial"/>
          <w:sz w:val="22"/>
          <w:szCs w:val="22"/>
        </w:rPr>
        <w:t>P</w:t>
      </w:r>
      <w:r w:rsidRPr="00DD6D40">
        <w:rPr>
          <w:rFonts w:ascii="Arial" w:hAnsi="Arial" w:cs="Arial"/>
          <w:sz w:val="22"/>
          <w:szCs w:val="22"/>
        </w:rPr>
        <w:t xml:space="preserve">ractice: </w:t>
      </w:r>
      <w:r w:rsidR="006B1900">
        <w:rPr>
          <w:rFonts w:ascii="Arial" w:hAnsi="Arial" w:cs="Arial"/>
          <w:sz w:val="22"/>
          <w:szCs w:val="22"/>
        </w:rPr>
        <w:t>S</w:t>
      </w:r>
      <w:r w:rsidRPr="00DD6D40">
        <w:rPr>
          <w:rFonts w:ascii="Arial" w:hAnsi="Arial" w:cs="Arial"/>
          <w:sz w:val="22"/>
          <w:szCs w:val="22"/>
        </w:rPr>
        <w:t xml:space="preserve">pirits, </w:t>
      </w:r>
      <w:r w:rsidR="006B1900">
        <w:rPr>
          <w:rFonts w:ascii="Arial" w:hAnsi="Arial" w:cs="Arial"/>
          <w:sz w:val="22"/>
          <w:szCs w:val="22"/>
        </w:rPr>
        <w:t>P</w:t>
      </w:r>
      <w:r w:rsidRPr="00DD6D40">
        <w:rPr>
          <w:rFonts w:ascii="Arial" w:hAnsi="Arial" w:cs="Arial"/>
          <w:sz w:val="22"/>
          <w:szCs w:val="22"/>
        </w:rPr>
        <w:t xml:space="preserve">seudonyms, and </w:t>
      </w:r>
      <w:r w:rsidR="006B1900">
        <w:rPr>
          <w:rFonts w:ascii="Arial" w:hAnsi="Arial" w:cs="Arial"/>
          <w:sz w:val="22"/>
          <w:szCs w:val="22"/>
        </w:rPr>
        <w:t>H</w:t>
      </w:r>
      <w:r w:rsidRPr="00DD6D40">
        <w:rPr>
          <w:rFonts w:ascii="Arial" w:hAnsi="Arial" w:cs="Arial"/>
          <w:sz w:val="22"/>
          <w:szCs w:val="22"/>
        </w:rPr>
        <w:t xml:space="preserve">uman </w:t>
      </w:r>
      <w:r w:rsidR="006B1900">
        <w:rPr>
          <w:rFonts w:ascii="Arial" w:hAnsi="Arial" w:cs="Arial"/>
          <w:sz w:val="22"/>
          <w:szCs w:val="22"/>
        </w:rPr>
        <w:t>B</w:t>
      </w:r>
      <w:r w:rsidRPr="00DD6D40">
        <w:rPr>
          <w:rFonts w:ascii="Arial" w:hAnsi="Arial" w:cs="Arial"/>
          <w:sz w:val="22"/>
          <w:szCs w:val="22"/>
        </w:rPr>
        <w:t>ooks.</w:t>
      </w:r>
      <w:r w:rsidR="006B1900">
        <w:rPr>
          <w:rFonts w:ascii="Arial" w:hAnsi="Arial" w:cs="Arial"/>
          <w:sz w:val="22"/>
          <w:szCs w:val="22"/>
        </w:rPr>
        <w:t>”</w:t>
      </w:r>
      <w:r w:rsidRPr="00DD6D40">
        <w:rPr>
          <w:rFonts w:ascii="Arial" w:hAnsi="Arial" w:cs="Arial"/>
          <w:sz w:val="22"/>
          <w:szCs w:val="22"/>
        </w:rPr>
        <w:t xml:space="preserve"> </w:t>
      </w:r>
      <w:r w:rsidRPr="006B1900">
        <w:rPr>
          <w:rFonts w:ascii="Arial" w:hAnsi="Arial" w:cs="Arial"/>
          <w:i/>
          <w:sz w:val="22"/>
          <w:szCs w:val="22"/>
        </w:rPr>
        <w:t>Knowledge Organization</w:t>
      </w:r>
      <w:r w:rsidR="006B1900">
        <w:rPr>
          <w:rFonts w:ascii="Arial" w:hAnsi="Arial" w:cs="Arial"/>
          <w:sz w:val="22"/>
          <w:szCs w:val="22"/>
        </w:rPr>
        <w:t xml:space="preserve"> </w:t>
      </w:r>
      <w:r w:rsidRPr="00DD6D40">
        <w:rPr>
          <w:rFonts w:ascii="Arial" w:hAnsi="Arial" w:cs="Arial"/>
          <w:sz w:val="22"/>
          <w:szCs w:val="22"/>
        </w:rPr>
        <w:t>44</w:t>
      </w:r>
      <w:r w:rsidR="006B1900">
        <w:rPr>
          <w:rFonts w:ascii="Arial" w:hAnsi="Arial" w:cs="Arial"/>
          <w:sz w:val="22"/>
          <w:szCs w:val="22"/>
        </w:rPr>
        <w:t xml:space="preserve"> </w:t>
      </w:r>
      <w:r w:rsidRPr="00DD6D40">
        <w:rPr>
          <w:rFonts w:ascii="Arial" w:hAnsi="Arial" w:cs="Arial"/>
          <w:sz w:val="22"/>
          <w:szCs w:val="22"/>
        </w:rPr>
        <w:t>(8)</w:t>
      </w:r>
      <w:r w:rsidR="006B1900">
        <w:rPr>
          <w:rFonts w:ascii="Arial" w:hAnsi="Arial" w:cs="Arial"/>
          <w:sz w:val="22"/>
          <w:szCs w:val="22"/>
        </w:rPr>
        <w:t>:</w:t>
      </w:r>
      <w:r w:rsidRPr="00DD6D40">
        <w:rPr>
          <w:rFonts w:ascii="Arial" w:hAnsi="Arial" w:cs="Arial"/>
          <w:sz w:val="22"/>
          <w:szCs w:val="22"/>
        </w:rPr>
        <w:t xml:space="preserve"> 656-667. </w:t>
      </w:r>
    </w:p>
    <w:p w14:paraId="213D30C3" w14:textId="08F97159" w:rsidR="00DD6D40" w:rsidRPr="00DD6D40" w:rsidRDefault="00DD6D40" w:rsidP="00DD6D40">
      <w:pPr>
        <w:pStyle w:val="References"/>
        <w:spacing w:after="0" w:line="360" w:lineRule="auto"/>
        <w:rPr>
          <w:rFonts w:ascii="Arial" w:hAnsi="Arial" w:cs="Arial"/>
          <w:sz w:val="22"/>
          <w:szCs w:val="22"/>
        </w:rPr>
      </w:pPr>
      <w:proofErr w:type="spellStart"/>
      <w:r w:rsidRPr="00523112">
        <w:rPr>
          <w:rFonts w:ascii="Arial" w:hAnsi="Arial" w:cs="Arial"/>
          <w:sz w:val="22"/>
          <w:szCs w:val="22"/>
        </w:rPr>
        <w:t>McCus</w:t>
      </w:r>
      <w:r w:rsidRPr="00DD6D40">
        <w:rPr>
          <w:rFonts w:ascii="Arial" w:hAnsi="Arial" w:cs="Arial"/>
          <w:sz w:val="22"/>
          <w:szCs w:val="22"/>
        </w:rPr>
        <w:t>ker</w:t>
      </w:r>
      <w:proofErr w:type="spellEnd"/>
      <w:r w:rsidRPr="00DD6D40">
        <w:rPr>
          <w:rFonts w:ascii="Arial" w:hAnsi="Arial" w:cs="Arial"/>
          <w:sz w:val="22"/>
          <w:szCs w:val="22"/>
        </w:rPr>
        <w:t>, J</w:t>
      </w:r>
      <w:r w:rsidR="005C7410">
        <w:rPr>
          <w:rFonts w:ascii="Arial" w:hAnsi="Arial" w:cs="Arial"/>
          <w:sz w:val="22"/>
          <w:szCs w:val="22"/>
        </w:rPr>
        <w:t xml:space="preserve">ames </w:t>
      </w:r>
      <w:r w:rsidRPr="00DD6D40">
        <w:rPr>
          <w:rFonts w:ascii="Arial" w:hAnsi="Arial" w:cs="Arial"/>
          <w:sz w:val="22"/>
          <w:szCs w:val="22"/>
        </w:rPr>
        <w:t xml:space="preserve">P., </w:t>
      </w:r>
      <w:r w:rsidR="005C7410">
        <w:rPr>
          <w:rFonts w:ascii="Arial" w:hAnsi="Arial" w:cs="Arial"/>
          <w:sz w:val="22"/>
          <w:szCs w:val="22"/>
        </w:rPr>
        <w:t xml:space="preserve">and Deborah L. </w:t>
      </w:r>
      <w:r w:rsidRPr="00DD6D40">
        <w:rPr>
          <w:rFonts w:ascii="Arial" w:hAnsi="Arial" w:cs="Arial"/>
          <w:sz w:val="22"/>
          <w:szCs w:val="22"/>
        </w:rPr>
        <w:t>McGuinness</w:t>
      </w:r>
      <w:r w:rsidR="005C7410">
        <w:rPr>
          <w:rFonts w:ascii="Arial" w:hAnsi="Arial" w:cs="Arial"/>
          <w:sz w:val="22"/>
          <w:szCs w:val="22"/>
        </w:rPr>
        <w:t xml:space="preserve">. </w:t>
      </w:r>
      <w:r w:rsidRPr="00DD6D40">
        <w:rPr>
          <w:rFonts w:ascii="Arial" w:hAnsi="Arial" w:cs="Arial"/>
          <w:sz w:val="22"/>
          <w:szCs w:val="22"/>
        </w:rPr>
        <w:t xml:space="preserve">2010. </w:t>
      </w:r>
      <w:r w:rsidR="00523112">
        <w:rPr>
          <w:rFonts w:ascii="Arial" w:hAnsi="Arial" w:cs="Arial"/>
          <w:sz w:val="22"/>
          <w:szCs w:val="22"/>
        </w:rPr>
        <w:t>“</w:t>
      </w:r>
      <w:r w:rsidRPr="00DD6D40">
        <w:rPr>
          <w:rFonts w:ascii="Arial" w:hAnsi="Arial" w:cs="Arial"/>
          <w:sz w:val="22"/>
          <w:szCs w:val="22"/>
        </w:rPr>
        <w:t xml:space="preserve">Towards </w:t>
      </w:r>
      <w:r w:rsidR="00523112">
        <w:rPr>
          <w:rFonts w:ascii="Arial" w:hAnsi="Arial" w:cs="Arial"/>
          <w:sz w:val="22"/>
          <w:szCs w:val="22"/>
        </w:rPr>
        <w:t>I</w:t>
      </w:r>
      <w:r w:rsidRPr="00DD6D40">
        <w:rPr>
          <w:rFonts w:ascii="Arial" w:hAnsi="Arial" w:cs="Arial"/>
          <w:sz w:val="22"/>
          <w:szCs w:val="22"/>
        </w:rPr>
        <w:t xml:space="preserve">dentity in </w:t>
      </w:r>
      <w:r w:rsidR="00523112">
        <w:rPr>
          <w:rFonts w:ascii="Arial" w:hAnsi="Arial" w:cs="Arial"/>
          <w:sz w:val="22"/>
          <w:szCs w:val="22"/>
        </w:rPr>
        <w:t>L</w:t>
      </w:r>
      <w:r w:rsidRPr="00DD6D40">
        <w:rPr>
          <w:rFonts w:ascii="Arial" w:hAnsi="Arial" w:cs="Arial"/>
          <w:sz w:val="22"/>
          <w:szCs w:val="22"/>
        </w:rPr>
        <w:t xml:space="preserve">inked </w:t>
      </w:r>
      <w:r w:rsidR="00523112">
        <w:rPr>
          <w:rFonts w:ascii="Arial" w:hAnsi="Arial" w:cs="Arial"/>
          <w:sz w:val="22"/>
          <w:szCs w:val="22"/>
        </w:rPr>
        <w:t>D</w:t>
      </w:r>
      <w:r w:rsidRPr="00DD6D40">
        <w:rPr>
          <w:rFonts w:ascii="Arial" w:hAnsi="Arial" w:cs="Arial"/>
          <w:sz w:val="22"/>
          <w:szCs w:val="22"/>
        </w:rPr>
        <w:t>ata.</w:t>
      </w:r>
      <w:r w:rsidR="00523112">
        <w:rPr>
          <w:rFonts w:ascii="Arial" w:hAnsi="Arial" w:cs="Arial"/>
          <w:sz w:val="22"/>
          <w:szCs w:val="22"/>
        </w:rPr>
        <w:t>”</w:t>
      </w:r>
      <w:r w:rsidRPr="00DD6D40">
        <w:rPr>
          <w:rFonts w:ascii="Arial" w:hAnsi="Arial" w:cs="Arial"/>
          <w:sz w:val="22"/>
          <w:szCs w:val="22"/>
        </w:rPr>
        <w:t xml:space="preserve"> </w:t>
      </w:r>
      <w:r w:rsidR="00523112">
        <w:rPr>
          <w:rFonts w:ascii="Arial" w:hAnsi="Arial" w:cs="Arial"/>
          <w:sz w:val="22"/>
          <w:szCs w:val="22"/>
        </w:rPr>
        <w:t>Paper presented at</w:t>
      </w:r>
      <w:r w:rsidRPr="00DD6D40">
        <w:rPr>
          <w:rFonts w:ascii="Arial" w:hAnsi="Arial" w:cs="Arial"/>
          <w:sz w:val="22"/>
          <w:szCs w:val="22"/>
        </w:rPr>
        <w:t xml:space="preserve"> </w:t>
      </w:r>
      <w:r w:rsidRPr="00523112">
        <w:rPr>
          <w:rFonts w:ascii="Arial" w:hAnsi="Arial" w:cs="Arial"/>
          <w:i/>
          <w:sz w:val="22"/>
          <w:szCs w:val="22"/>
        </w:rPr>
        <w:t>OWL: Experience and Directions</w:t>
      </w:r>
      <w:r w:rsidRPr="00DD6D40">
        <w:rPr>
          <w:rFonts w:ascii="Arial" w:hAnsi="Arial" w:cs="Arial"/>
          <w:sz w:val="22"/>
          <w:szCs w:val="22"/>
        </w:rPr>
        <w:t xml:space="preserve">, </w:t>
      </w:r>
      <w:r w:rsidRPr="00523112">
        <w:rPr>
          <w:rFonts w:ascii="Arial" w:hAnsi="Arial" w:cs="Arial"/>
          <w:i/>
          <w:sz w:val="22"/>
          <w:szCs w:val="22"/>
        </w:rPr>
        <w:t xml:space="preserve">San Francisco, </w:t>
      </w:r>
      <w:r w:rsidR="00523112">
        <w:rPr>
          <w:rFonts w:ascii="Arial" w:hAnsi="Arial" w:cs="Arial"/>
          <w:i/>
          <w:sz w:val="22"/>
          <w:szCs w:val="22"/>
        </w:rPr>
        <w:t>CA,</w:t>
      </w:r>
      <w:r w:rsidRPr="00523112">
        <w:rPr>
          <w:rFonts w:ascii="Arial" w:hAnsi="Arial" w:cs="Arial"/>
          <w:i/>
          <w:sz w:val="22"/>
          <w:szCs w:val="22"/>
        </w:rPr>
        <w:t xml:space="preserve"> June 21-22, 2010</w:t>
      </w:r>
      <w:r w:rsidR="00523112">
        <w:rPr>
          <w:rFonts w:ascii="Arial" w:hAnsi="Arial" w:cs="Arial"/>
          <w:i/>
          <w:sz w:val="22"/>
          <w:szCs w:val="22"/>
        </w:rPr>
        <w:t>.</w:t>
      </w:r>
      <w:r w:rsidRPr="00DD6D40">
        <w:rPr>
          <w:rFonts w:ascii="Arial" w:hAnsi="Arial" w:cs="Arial"/>
          <w:sz w:val="22"/>
          <w:szCs w:val="22"/>
        </w:rPr>
        <w:t xml:space="preserve"> http://webont.org/owled/2010/papers/owled2010_submission_12.pdf</w:t>
      </w:r>
    </w:p>
    <w:p w14:paraId="49C4CADA" w14:textId="6B46E377" w:rsidR="00DD6D40" w:rsidRPr="00DD6D40" w:rsidRDefault="00DD6D40" w:rsidP="00DD6D40">
      <w:pPr>
        <w:pStyle w:val="References"/>
        <w:spacing w:after="0" w:line="360" w:lineRule="auto"/>
        <w:rPr>
          <w:rFonts w:ascii="Arial" w:hAnsi="Arial" w:cs="Arial"/>
          <w:sz w:val="22"/>
          <w:szCs w:val="22"/>
        </w:rPr>
      </w:pPr>
      <w:r w:rsidRPr="002C6B0A">
        <w:rPr>
          <w:rFonts w:ascii="Arial" w:hAnsi="Arial" w:cs="Arial"/>
          <w:sz w:val="22"/>
          <w:szCs w:val="22"/>
        </w:rPr>
        <w:t>UNESC</w:t>
      </w:r>
      <w:r w:rsidRPr="00DD6D40">
        <w:rPr>
          <w:rFonts w:ascii="Arial" w:hAnsi="Arial" w:cs="Arial"/>
          <w:sz w:val="22"/>
          <w:szCs w:val="22"/>
        </w:rPr>
        <w:t xml:space="preserve">O. 2019. </w:t>
      </w:r>
      <w:r w:rsidR="002C6B0A">
        <w:rPr>
          <w:rFonts w:ascii="Arial" w:hAnsi="Arial" w:cs="Arial"/>
          <w:sz w:val="22"/>
          <w:szCs w:val="22"/>
        </w:rPr>
        <w:t>“</w:t>
      </w:r>
      <w:r w:rsidRPr="00DD6D40">
        <w:rPr>
          <w:rFonts w:ascii="Arial" w:hAnsi="Arial" w:cs="Arial"/>
          <w:sz w:val="22"/>
          <w:szCs w:val="22"/>
        </w:rPr>
        <w:t>Protecting Our Heritage and Fostering Creativity.</w:t>
      </w:r>
      <w:r w:rsidR="00BA0A3E">
        <w:rPr>
          <w:rFonts w:ascii="Arial" w:hAnsi="Arial" w:cs="Arial"/>
          <w:sz w:val="22"/>
          <w:szCs w:val="22"/>
        </w:rPr>
        <w:t>”</w:t>
      </w:r>
      <w:r w:rsidRPr="00DD6D40">
        <w:rPr>
          <w:rFonts w:ascii="Arial" w:hAnsi="Arial" w:cs="Arial"/>
          <w:sz w:val="22"/>
          <w:szCs w:val="22"/>
        </w:rPr>
        <w:t xml:space="preserve"> </w:t>
      </w:r>
      <w:r w:rsidR="00BA0A3E">
        <w:rPr>
          <w:rFonts w:ascii="Arial" w:hAnsi="Arial" w:cs="Arial"/>
          <w:sz w:val="22"/>
          <w:szCs w:val="22"/>
        </w:rPr>
        <w:t>Accessed</w:t>
      </w:r>
      <w:r w:rsidRPr="00DD6D40">
        <w:rPr>
          <w:rFonts w:ascii="Arial" w:hAnsi="Arial" w:cs="Arial"/>
          <w:sz w:val="22"/>
          <w:szCs w:val="22"/>
        </w:rPr>
        <w:t xml:space="preserve"> September 27, 20</w:t>
      </w:r>
      <w:r w:rsidR="00BA0A3E">
        <w:rPr>
          <w:rFonts w:ascii="Arial" w:hAnsi="Arial" w:cs="Arial"/>
          <w:sz w:val="22"/>
          <w:szCs w:val="22"/>
        </w:rPr>
        <w:t xml:space="preserve">20. </w:t>
      </w:r>
      <w:r w:rsidRPr="00DD6D40">
        <w:rPr>
          <w:rFonts w:ascii="Arial" w:hAnsi="Arial" w:cs="Arial"/>
          <w:sz w:val="22"/>
          <w:szCs w:val="22"/>
        </w:rPr>
        <w:t>http://en.unesco.org/themes/protecting-our-heritage-and-fostering-creativity</w:t>
      </w:r>
    </w:p>
    <w:p w14:paraId="7BC980A1" w14:textId="3F8B44C1" w:rsidR="00DD6D40" w:rsidRDefault="00DD6D40" w:rsidP="00DD6D40">
      <w:pPr>
        <w:pStyle w:val="References"/>
        <w:spacing w:after="0" w:line="360" w:lineRule="auto"/>
        <w:rPr>
          <w:rFonts w:ascii="Arial" w:hAnsi="Arial" w:cs="Arial"/>
          <w:sz w:val="22"/>
          <w:szCs w:val="22"/>
        </w:rPr>
      </w:pPr>
      <w:r w:rsidRPr="00DD6D40">
        <w:rPr>
          <w:rFonts w:ascii="Arial" w:hAnsi="Arial" w:cs="Arial"/>
          <w:sz w:val="22"/>
          <w:szCs w:val="22"/>
        </w:rPr>
        <w:t>Zeng, M</w:t>
      </w:r>
      <w:r w:rsidR="006B1900">
        <w:rPr>
          <w:rFonts w:ascii="Arial" w:hAnsi="Arial" w:cs="Arial"/>
          <w:sz w:val="22"/>
          <w:szCs w:val="22"/>
        </w:rPr>
        <w:t>arcia</w:t>
      </w:r>
      <w:r w:rsidRPr="00DD6D40">
        <w:rPr>
          <w:rFonts w:ascii="Arial" w:hAnsi="Arial" w:cs="Arial"/>
          <w:sz w:val="22"/>
          <w:szCs w:val="22"/>
        </w:rPr>
        <w:t xml:space="preserve"> L</w:t>
      </w:r>
      <w:r w:rsidR="006B1900">
        <w:rPr>
          <w:rFonts w:ascii="Arial" w:hAnsi="Arial" w:cs="Arial"/>
          <w:sz w:val="22"/>
          <w:szCs w:val="22"/>
        </w:rPr>
        <w:t>ei</w:t>
      </w:r>
      <w:r w:rsidRPr="00DD6D40">
        <w:rPr>
          <w:rFonts w:ascii="Arial" w:hAnsi="Arial" w:cs="Arial"/>
          <w:sz w:val="22"/>
          <w:szCs w:val="22"/>
        </w:rPr>
        <w:t xml:space="preserve">. 2008. </w:t>
      </w:r>
      <w:r w:rsidR="006B1900">
        <w:rPr>
          <w:rFonts w:ascii="Arial" w:hAnsi="Arial" w:cs="Arial"/>
          <w:sz w:val="22"/>
          <w:szCs w:val="22"/>
        </w:rPr>
        <w:t>“</w:t>
      </w:r>
      <w:r w:rsidRPr="00DD6D40">
        <w:rPr>
          <w:rFonts w:ascii="Arial" w:hAnsi="Arial" w:cs="Arial"/>
          <w:sz w:val="22"/>
          <w:szCs w:val="22"/>
        </w:rPr>
        <w:t xml:space="preserve">Knowledge </w:t>
      </w:r>
      <w:r w:rsidR="006B1900">
        <w:rPr>
          <w:rFonts w:ascii="Arial" w:hAnsi="Arial" w:cs="Arial"/>
          <w:sz w:val="22"/>
          <w:szCs w:val="22"/>
        </w:rPr>
        <w:t>O</w:t>
      </w:r>
      <w:r w:rsidRPr="00DD6D40">
        <w:rPr>
          <w:rFonts w:ascii="Arial" w:hAnsi="Arial" w:cs="Arial"/>
          <w:sz w:val="22"/>
          <w:szCs w:val="22"/>
        </w:rPr>
        <w:t xml:space="preserve">rganization </w:t>
      </w:r>
      <w:r w:rsidR="006B1900">
        <w:rPr>
          <w:rFonts w:ascii="Arial" w:hAnsi="Arial" w:cs="Arial"/>
          <w:sz w:val="22"/>
          <w:szCs w:val="22"/>
        </w:rPr>
        <w:t>S</w:t>
      </w:r>
      <w:r w:rsidRPr="00DD6D40">
        <w:rPr>
          <w:rFonts w:ascii="Arial" w:hAnsi="Arial" w:cs="Arial"/>
          <w:sz w:val="22"/>
          <w:szCs w:val="22"/>
        </w:rPr>
        <w:t>ystems (KOS).</w:t>
      </w:r>
      <w:r w:rsidR="006B1900">
        <w:rPr>
          <w:rFonts w:ascii="Arial" w:hAnsi="Arial" w:cs="Arial"/>
          <w:sz w:val="22"/>
          <w:szCs w:val="22"/>
        </w:rPr>
        <w:t>”</w:t>
      </w:r>
      <w:r w:rsidRPr="00DD6D40">
        <w:rPr>
          <w:rFonts w:ascii="Arial" w:hAnsi="Arial" w:cs="Arial"/>
          <w:sz w:val="22"/>
          <w:szCs w:val="22"/>
        </w:rPr>
        <w:t xml:space="preserve"> </w:t>
      </w:r>
      <w:r w:rsidRPr="006B1900">
        <w:rPr>
          <w:rFonts w:ascii="Arial" w:hAnsi="Arial" w:cs="Arial"/>
          <w:i/>
          <w:sz w:val="22"/>
          <w:szCs w:val="22"/>
        </w:rPr>
        <w:t>Knowledge Organization</w:t>
      </w:r>
      <w:r w:rsidRPr="00DD6D40">
        <w:rPr>
          <w:rFonts w:ascii="Arial" w:hAnsi="Arial" w:cs="Arial"/>
          <w:sz w:val="22"/>
          <w:szCs w:val="22"/>
        </w:rPr>
        <w:t xml:space="preserve"> 35</w:t>
      </w:r>
      <w:r w:rsidR="006B1900">
        <w:rPr>
          <w:rFonts w:ascii="Arial" w:hAnsi="Arial" w:cs="Arial"/>
          <w:sz w:val="22"/>
          <w:szCs w:val="22"/>
        </w:rPr>
        <w:t xml:space="preserve"> </w:t>
      </w:r>
      <w:r w:rsidRPr="00DD6D40">
        <w:rPr>
          <w:rFonts w:ascii="Arial" w:hAnsi="Arial" w:cs="Arial"/>
          <w:sz w:val="22"/>
          <w:szCs w:val="22"/>
        </w:rPr>
        <w:t>(2-3)</w:t>
      </w:r>
      <w:r w:rsidR="006B1900">
        <w:rPr>
          <w:rFonts w:ascii="Arial" w:hAnsi="Arial" w:cs="Arial"/>
          <w:sz w:val="22"/>
          <w:szCs w:val="22"/>
        </w:rPr>
        <w:t xml:space="preserve">: </w:t>
      </w:r>
      <w:r w:rsidRPr="00DD6D40">
        <w:rPr>
          <w:rFonts w:ascii="Arial" w:hAnsi="Arial" w:cs="Arial"/>
          <w:sz w:val="22"/>
          <w:szCs w:val="22"/>
        </w:rPr>
        <w:t>160-182.</w:t>
      </w:r>
    </w:p>
    <w:p w14:paraId="50B9BDCB" w14:textId="00B2FDE0" w:rsidR="00DD6D40" w:rsidRDefault="00DD6D40" w:rsidP="00DD6D40">
      <w:pPr>
        <w:pStyle w:val="References"/>
        <w:spacing w:after="0" w:line="360" w:lineRule="auto"/>
        <w:rPr>
          <w:rFonts w:ascii="Arial" w:hAnsi="Arial" w:cs="Arial"/>
          <w:sz w:val="22"/>
          <w:szCs w:val="22"/>
        </w:rPr>
      </w:pPr>
    </w:p>
    <w:p w14:paraId="4C7D0058" w14:textId="21C4AE82" w:rsidR="00DD6D40" w:rsidRPr="00DC088A" w:rsidRDefault="00DD6D40" w:rsidP="00DD6D40">
      <w:pPr>
        <w:pStyle w:val="Heading1"/>
        <w:spacing w:before="0" w:line="360" w:lineRule="auto"/>
        <w:rPr>
          <w:rFonts w:ascii="Arial" w:hAnsi="Arial" w:cs="Arial"/>
          <w:szCs w:val="22"/>
        </w:rPr>
      </w:pPr>
      <w:r>
        <w:rPr>
          <w:rFonts w:ascii="Arial" w:hAnsi="Arial" w:cs="Arial"/>
          <w:szCs w:val="22"/>
        </w:rPr>
        <w:t>SOURCES</w:t>
      </w:r>
    </w:p>
    <w:p w14:paraId="768DB617" w14:textId="1B5F9D9D" w:rsidR="00432DEE" w:rsidRPr="00432DEE" w:rsidRDefault="00E31F9B" w:rsidP="00706430">
      <w:pPr>
        <w:pStyle w:val="References"/>
        <w:spacing w:after="0" w:line="360" w:lineRule="auto"/>
        <w:rPr>
          <w:rFonts w:ascii="Arial" w:hAnsi="Arial" w:cs="Arial"/>
          <w:sz w:val="22"/>
          <w:szCs w:val="22"/>
        </w:rPr>
      </w:pPr>
      <w:r w:rsidRPr="00313A83">
        <w:rPr>
          <w:rFonts w:ascii="Arial" w:hAnsi="Arial" w:cs="Arial"/>
          <w:sz w:val="22"/>
          <w:szCs w:val="22"/>
        </w:rPr>
        <w:t>Baca, M</w:t>
      </w:r>
      <w:r w:rsidR="00313A83" w:rsidRPr="00313A83">
        <w:rPr>
          <w:rFonts w:ascii="Arial" w:hAnsi="Arial" w:cs="Arial"/>
          <w:sz w:val="22"/>
          <w:szCs w:val="22"/>
        </w:rPr>
        <w:t xml:space="preserve">urtha, Patricia Harpring, Elisa </w:t>
      </w:r>
      <w:proofErr w:type="spellStart"/>
      <w:r w:rsidR="00313A83" w:rsidRPr="00313A83">
        <w:rPr>
          <w:rFonts w:ascii="Arial" w:hAnsi="Arial" w:cs="Arial"/>
          <w:sz w:val="22"/>
          <w:szCs w:val="22"/>
        </w:rPr>
        <w:t>Lanzi</w:t>
      </w:r>
      <w:proofErr w:type="spellEnd"/>
      <w:r w:rsidR="00313A83" w:rsidRPr="00313A83">
        <w:rPr>
          <w:rFonts w:ascii="Arial" w:hAnsi="Arial" w:cs="Arial"/>
          <w:sz w:val="22"/>
          <w:szCs w:val="22"/>
        </w:rPr>
        <w:t>, Linda McRae, and Ann Whiteside</w:t>
      </w:r>
      <w:r w:rsidRPr="00313A83">
        <w:rPr>
          <w:rFonts w:ascii="Arial" w:hAnsi="Arial" w:cs="Arial"/>
          <w:sz w:val="22"/>
          <w:szCs w:val="22"/>
        </w:rPr>
        <w:t xml:space="preserve">. 2006. </w:t>
      </w:r>
      <w:r w:rsidRPr="00313A83">
        <w:rPr>
          <w:rFonts w:ascii="Arial" w:hAnsi="Arial" w:cs="Arial"/>
          <w:i/>
          <w:sz w:val="22"/>
          <w:szCs w:val="22"/>
        </w:rPr>
        <w:t xml:space="preserve">Cataloging </w:t>
      </w:r>
      <w:r w:rsidR="00313A83" w:rsidRPr="00313A83">
        <w:rPr>
          <w:rFonts w:ascii="Arial" w:hAnsi="Arial" w:cs="Arial"/>
          <w:i/>
          <w:sz w:val="22"/>
          <w:szCs w:val="22"/>
        </w:rPr>
        <w:t>C</w:t>
      </w:r>
      <w:r w:rsidRPr="00313A83">
        <w:rPr>
          <w:rFonts w:ascii="Arial" w:hAnsi="Arial" w:cs="Arial"/>
          <w:i/>
          <w:sz w:val="22"/>
          <w:szCs w:val="22"/>
        </w:rPr>
        <w:t xml:space="preserve">ultural </w:t>
      </w:r>
      <w:proofErr w:type="gramStart"/>
      <w:r w:rsidR="00313A83" w:rsidRPr="00313A83">
        <w:rPr>
          <w:rFonts w:ascii="Arial" w:hAnsi="Arial" w:cs="Arial"/>
          <w:i/>
          <w:sz w:val="22"/>
          <w:szCs w:val="22"/>
        </w:rPr>
        <w:t>O</w:t>
      </w:r>
      <w:r w:rsidRPr="00313A83">
        <w:rPr>
          <w:rFonts w:ascii="Arial" w:hAnsi="Arial" w:cs="Arial"/>
          <w:i/>
          <w:sz w:val="22"/>
          <w:szCs w:val="22"/>
        </w:rPr>
        <w:t>bjects :</w:t>
      </w:r>
      <w:proofErr w:type="gramEnd"/>
      <w:r w:rsidRPr="00313A83">
        <w:rPr>
          <w:rFonts w:ascii="Arial" w:hAnsi="Arial" w:cs="Arial"/>
          <w:i/>
          <w:sz w:val="22"/>
          <w:szCs w:val="22"/>
        </w:rPr>
        <w:t xml:space="preserve"> A </w:t>
      </w:r>
      <w:r w:rsidR="00313A83" w:rsidRPr="00313A83">
        <w:rPr>
          <w:rFonts w:ascii="Arial" w:hAnsi="Arial" w:cs="Arial"/>
          <w:i/>
          <w:sz w:val="22"/>
          <w:szCs w:val="22"/>
        </w:rPr>
        <w:t>G</w:t>
      </w:r>
      <w:r w:rsidRPr="00313A83">
        <w:rPr>
          <w:rFonts w:ascii="Arial" w:hAnsi="Arial" w:cs="Arial"/>
          <w:i/>
          <w:sz w:val="22"/>
          <w:szCs w:val="22"/>
        </w:rPr>
        <w:t xml:space="preserve">uide to </w:t>
      </w:r>
      <w:r w:rsidR="00313A83" w:rsidRPr="00313A83">
        <w:rPr>
          <w:rFonts w:ascii="Arial" w:hAnsi="Arial" w:cs="Arial"/>
          <w:i/>
          <w:sz w:val="22"/>
          <w:szCs w:val="22"/>
        </w:rPr>
        <w:t>D</w:t>
      </w:r>
      <w:r w:rsidRPr="00313A83">
        <w:rPr>
          <w:rFonts w:ascii="Arial" w:hAnsi="Arial" w:cs="Arial"/>
          <w:i/>
          <w:sz w:val="22"/>
          <w:szCs w:val="22"/>
        </w:rPr>
        <w:t xml:space="preserve">escribing </w:t>
      </w:r>
      <w:r w:rsidR="00313A83" w:rsidRPr="00313A83">
        <w:rPr>
          <w:rFonts w:ascii="Arial" w:hAnsi="Arial" w:cs="Arial"/>
          <w:i/>
          <w:sz w:val="22"/>
          <w:szCs w:val="22"/>
        </w:rPr>
        <w:t>C</w:t>
      </w:r>
      <w:r w:rsidRPr="00313A83">
        <w:rPr>
          <w:rFonts w:ascii="Arial" w:hAnsi="Arial" w:cs="Arial"/>
          <w:i/>
          <w:sz w:val="22"/>
          <w:szCs w:val="22"/>
        </w:rPr>
        <w:t xml:space="preserve">ultural </w:t>
      </w:r>
      <w:r w:rsidR="00313A83" w:rsidRPr="00313A83">
        <w:rPr>
          <w:rFonts w:ascii="Arial" w:hAnsi="Arial" w:cs="Arial"/>
          <w:i/>
          <w:sz w:val="22"/>
          <w:szCs w:val="22"/>
        </w:rPr>
        <w:t>W</w:t>
      </w:r>
      <w:r w:rsidRPr="00313A83">
        <w:rPr>
          <w:rFonts w:ascii="Arial" w:hAnsi="Arial" w:cs="Arial"/>
          <w:i/>
          <w:sz w:val="22"/>
          <w:szCs w:val="22"/>
        </w:rPr>
        <w:t xml:space="preserve">orks and </w:t>
      </w:r>
      <w:r w:rsidR="00313A83" w:rsidRPr="00313A83">
        <w:rPr>
          <w:rFonts w:ascii="Arial" w:hAnsi="Arial" w:cs="Arial"/>
          <w:i/>
          <w:sz w:val="22"/>
          <w:szCs w:val="22"/>
        </w:rPr>
        <w:t>T</w:t>
      </w:r>
      <w:r w:rsidRPr="00313A83">
        <w:rPr>
          <w:rFonts w:ascii="Arial" w:hAnsi="Arial" w:cs="Arial"/>
          <w:i/>
          <w:sz w:val="22"/>
          <w:szCs w:val="22"/>
        </w:rPr>
        <w:t xml:space="preserve">heir </w:t>
      </w:r>
      <w:r w:rsidR="00313A83" w:rsidRPr="00313A83">
        <w:rPr>
          <w:rFonts w:ascii="Arial" w:hAnsi="Arial" w:cs="Arial"/>
          <w:i/>
          <w:sz w:val="22"/>
          <w:szCs w:val="22"/>
        </w:rPr>
        <w:t>I</w:t>
      </w:r>
      <w:r w:rsidRPr="00313A83">
        <w:rPr>
          <w:rFonts w:ascii="Arial" w:hAnsi="Arial" w:cs="Arial"/>
          <w:i/>
          <w:sz w:val="22"/>
          <w:szCs w:val="22"/>
        </w:rPr>
        <w:t>mages</w:t>
      </w:r>
      <w:r w:rsidRPr="00313A83">
        <w:rPr>
          <w:rFonts w:ascii="Arial" w:hAnsi="Arial" w:cs="Arial"/>
          <w:sz w:val="22"/>
          <w:szCs w:val="22"/>
        </w:rPr>
        <w:t xml:space="preserve">. Chicago: American Library Association. </w:t>
      </w:r>
    </w:p>
    <w:p w14:paraId="358F9802" w14:textId="638BE88F" w:rsidR="00432DEE" w:rsidRPr="00432DEE" w:rsidRDefault="00432DEE" w:rsidP="00432DEE">
      <w:pPr>
        <w:pStyle w:val="References"/>
        <w:spacing w:after="0" w:line="360" w:lineRule="auto"/>
        <w:rPr>
          <w:rFonts w:ascii="Arial" w:hAnsi="Arial" w:cs="Arial"/>
          <w:sz w:val="22"/>
          <w:szCs w:val="22"/>
        </w:rPr>
      </w:pPr>
      <w:r w:rsidRPr="00432DEE">
        <w:rPr>
          <w:rFonts w:ascii="Arial" w:hAnsi="Arial" w:cs="Arial"/>
          <w:sz w:val="22"/>
          <w:szCs w:val="22"/>
        </w:rPr>
        <w:t>Canadian Library Association, Chartered Institute of Library and Information Professionals, Joint Steering Committee for Development of RDA, and American Library Association. “RDA Toolkit: Resource Description &amp; Access,” 2010. http://www.rdatoolkit.org/.</w:t>
      </w:r>
    </w:p>
    <w:p w14:paraId="51DECD04" w14:textId="365B4BB8" w:rsidR="00B8733A" w:rsidRPr="00B8733A" w:rsidRDefault="00B8733A" w:rsidP="00432DEE">
      <w:pPr>
        <w:pStyle w:val="References"/>
        <w:spacing w:after="0" w:line="360" w:lineRule="auto"/>
        <w:rPr>
          <w:rFonts w:ascii="Arial" w:hAnsi="Arial" w:cs="Arial"/>
          <w:sz w:val="22"/>
          <w:szCs w:val="22"/>
        </w:rPr>
      </w:pPr>
      <w:r w:rsidRPr="00B8733A">
        <w:rPr>
          <w:rFonts w:ascii="Arial" w:hAnsi="Arial" w:cs="Arial"/>
          <w:sz w:val="22"/>
          <w:szCs w:val="22"/>
        </w:rPr>
        <w:t>“CIDOC CRM - Conceptual Reference Model.” Accessed October 27, 2020. http://www.cidoc-crm.org/.</w:t>
      </w:r>
    </w:p>
    <w:p w14:paraId="61BFB979" w14:textId="67749A26" w:rsidR="009A7E88" w:rsidRPr="009A7E88" w:rsidRDefault="009A7E88" w:rsidP="00B8733A">
      <w:pPr>
        <w:pStyle w:val="References"/>
        <w:spacing w:after="0" w:line="360" w:lineRule="auto"/>
        <w:ind w:left="0" w:firstLine="0"/>
        <w:rPr>
          <w:rFonts w:ascii="Arial" w:hAnsi="Arial" w:cs="Arial"/>
          <w:sz w:val="22"/>
          <w:szCs w:val="22"/>
        </w:rPr>
      </w:pPr>
      <w:r w:rsidRPr="009A7E88">
        <w:rPr>
          <w:rFonts w:ascii="Arial" w:hAnsi="Arial" w:cs="Arial"/>
          <w:sz w:val="22"/>
          <w:szCs w:val="22"/>
        </w:rPr>
        <w:t xml:space="preserve">“FOAF Vocabulary Specification.” Accessed </w:t>
      </w:r>
      <w:r>
        <w:rPr>
          <w:rFonts w:ascii="Arial" w:hAnsi="Arial" w:cs="Arial"/>
          <w:sz w:val="22"/>
          <w:szCs w:val="22"/>
        </w:rPr>
        <w:t>October</w:t>
      </w:r>
      <w:r w:rsidRPr="009A7E88">
        <w:rPr>
          <w:rFonts w:ascii="Arial" w:hAnsi="Arial" w:cs="Arial"/>
          <w:sz w:val="22"/>
          <w:szCs w:val="22"/>
        </w:rPr>
        <w:t xml:space="preserve"> 25, 20</w:t>
      </w:r>
      <w:r>
        <w:rPr>
          <w:rFonts w:ascii="Arial" w:hAnsi="Arial" w:cs="Arial"/>
          <w:sz w:val="22"/>
          <w:szCs w:val="22"/>
        </w:rPr>
        <w:t>20</w:t>
      </w:r>
      <w:r w:rsidRPr="009A7E88">
        <w:rPr>
          <w:rFonts w:ascii="Arial" w:hAnsi="Arial" w:cs="Arial"/>
          <w:sz w:val="22"/>
          <w:szCs w:val="22"/>
        </w:rPr>
        <w:t>. http://xmlns.com/foaf/spec/.</w:t>
      </w:r>
    </w:p>
    <w:p w14:paraId="3BDE863D" w14:textId="09263841" w:rsidR="00706430" w:rsidRPr="00706430" w:rsidRDefault="009A7E88" w:rsidP="00706430">
      <w:pPr>
        <w:pStyle w:val="References"/>
        <w:spacing w:after="0" w:line="360" w:lineRule="auto"/>
        <w:ind w:left="180" w:hanging="180"/>
        <w:rPr>
          <w:rFonts w:ascii="Arial" w:hAnsi="Arial" w:cs="Arial"/>
          <w:sz w:val="22"/>
          <w:szCs w:val="22"/>
        </w:rPr>
      </w:pPr>
      <w:r w:rsidRPr="009A7E88">
        <w:rPr>
          <w:rFonts w:ascii="Arial" w:hAnsi="Arial" w:cs="Arial"/>
          <w:sz w:val="22"/>
          <w:szCs w:val="22"/>
        </w:rPr>
        <w:t>Library of Congress.</w:t>
      </w:r>
      <w:r>
        <w:rPr>
          <w:rFonts w:ascii="Arial" w:hAnsi="Arial" w:cs="Arial"/>
          <w:sz w:val="22"/>
          <w:szCs w:val="22"/>
        </w:rPr>
        <w:t xml:space="preserve"> 2020</w:t>
      </w:r>
      <w:r w:rsidRPr="009A7E88">
        <w:rPr>
          <w:rFonts w:ascii="Arial" w:hAnsi="Arial" w:cs="Arial"/>
          <w:sz w:val="22"/>
          <w:szCs w:val="22"/>
        </w:rPr>
        <w:t xml:space="preserve"> “BIBFRAME - Bibliographic Framework Initiative (Library of Congress).” </w:t>
      </w:r>
      <w:r>
        <w:rPr>
          <w:rFonts w:ascii="Arial" w:hAnsi="Arial" w:cs="Arial"/>
          <w:sz w:val="22"/>
          <w:szCs w:val="22"/>
        </w:rPr>
        <w:t xml:space="preserve">                         </w:t>
      </w:r>
      <w:r w:rsidRPr="009A7E88">
        <w:rPr>
          <w:rFonts w:ascii="Arial" w:hAnsi="Arial" w:cs="Arial"/>
          <w:sz w:val="22"/>
          <w:szCs w:val="22"/>
        </w:rPr>
        <w:t>Accessed October 27, 2020. https://www.loc.gov/bibframe/.</w:t>
      </w:r>
    </w:p>
    <w:p w14:paraId="62D0AE3F" w14:textId="38A894A5" w:rsidR="00706430" w:rsidRPr="00706430" w:rsidRDefault="00706430" w:rsidP="00706430">
      <w:pPr>
        <w:pStyle w:val="References"/>
        <w:spacing w:after="0" w:line="360" w:lineRule="auto"/>
        <w:rPr>
          <w:rFonts w:ascii="Arial" w:hAnsi="Arial" w:cs="Arial"/>
          <w:sz w:val="22"/>
          <w:szCs w:val="22"/>
        </w:rPr>
      </w:pPr>
      <w:r w:rsidRPr="00706430">
        <w:rPr>
          <w:rFonts w:ascii="Arial" w:hAnsi="Arial" w:cs="Arial"/>
          <w:sz w:val="22"/>
          <w:szCs w:val="22"/>
        </w:rPr>
        <w:t xml:space="preserve">Riva, Pat, Patrick Le Boeuf, and Maja </w:t>
      </w:r>
      <w:proofErr w:type="spellStart"/>
      <w:r w:rsidRPr="00706430">
        <w:rPr>
          <w:rFonts w:ascii="Arial" w:hAnsi="Arial" w:cs="Arial"/>
          <w:sz w:val="22"/>
          <w:szCs w:val="22"/>
        </w:rPr>
        <w:t>Žumer</w:t>
      </w:r>
      <w:proofErr w:type="spellEnd"/>
      <w:r w:rsidRPr="00706430">
        <w:rPr>
          <w:rFonts w:ascii="Arial" w:hAnsi="Arial" w:cs="Arial"/>
          <w:sz w:val="22"/>
          <w:szCs w:val="22"/>
        </w:rPr>
        <w:t xml:space="preserve">. </w:t>
      </w:r>
      <w:r>
        <w:rPr>
          <w:rFonts w:ascii="Arial" w:hAnsi="Arial" w:cs="Arial"/>
          <w:sz w:val="22"/>
          <w:szCs w:val="22"/>
        </w:rPr>
        <w:t xml:space="preserve">2017. </w:t>
      </w:r>
      <w:r w:rsidRPr="00706430">
        <w:rPr>
          <w:rFonts w:ascii="Arial" w:hAnsi="Arial" w:cs="Arial"/>
          <w:i/>
          <w:sz w:val="22"/>
          <w:szCs w:val="22"/>
        </w:rPr>
        <w:t>IFLA Library Reference Model</w:t>
      </w:r>
      <w:r w:rsidRPr="00706430">
        <w:rPr>
          <w:rFonts w:ascii="Arial" w:hAnsi="Arial" w:cs="Arial"/>
          <w:sz w:val="22"/>
          <w:szCs w:val="22"/>
        </w:rPr>
        <w:t>. The Hague: IFLA. https://www.ifla.org/files/assets/cataloguing/frbr-lrm/ifla-lrm-august-2017_rev201712.pdf.</w:t>
      </w:r>
    </w:p>
    <w:p w14:paraId="38314575" w14:textId="7F4A8881" w:rsidR="009A7E88" w:rsidRPr="00C664A9" w:rsidRDefault="00C664A9" w:rsidP="00706430">
      <w:pPr>
        <w:pStyle w:val="References"/>
        <w:spacing w:after="0" w:line="360" w:lineRule="auto"/>
        <w:ind w:left="0" w:firstLine="0"/>
        <w:rPr>
          <w:rFonts w:ascii="Arial" w:hAnsi="Arial" w:cs="Arial"/>
          <w:sz w:val="22"/>
          <w:szCs w:val="22"/>
        </w:rPr>
      </w:pPr>
      <w:bookmarkStart w:id="0" w:name="_GoBack"/>
      <w:bookmarkEnd w:id="0"/>
      <w:r w:rsidRPr="00C664A9">
        <w:rPr>
          <w:rFonts w:ascii="Arial" w:hAnsi="Arial" w:cs="Arial"/>
          <w:sz w:val="22"/>
          <w:szCs w:val="22"/>
        </w:rPr>
        <w:t>“Schema.Org.” Accessed October 27, 2020. https://schema.org/.</w:t>
      </w:r>
    </w:p>
    <w:p w14:paraId="039EAADF" w14:textId="4A808FFB" w:rsidR="00E31F9B" w:rsidRPr="008A7CB7" w:rsidRDefault="00E31F9B" w:rsidP="00C664A9">
      <w:pPr>
        <w:pStyle w:val="References"/>
        <w:spacing w:after="0" w:line="360" w:lineRule="auto"/>
        <w:rPr>
          <w:rFonts w:ascii="Arial" w:hAnsi="Arial" w:cs="Arial"/>
          <w:sz w:val="22"/>
          <w:szCs w:val="22"/>
        </w:rPr>
      </w:pPr>
      <w:r w:rsidRPr="008A7CB7">
        <w:rPr>
          <w:rFonts w:ascii="Arial" w:hAnsi="Arial" w:cs="Arial"/>
          <w:sz w:val="22"/>
          <w:szCs w:val="22"/>
        </w:rPr>
        <w:t>Society of American Archivists.</w:t>
      </w:r>
      <w:r w:rsidR="008A7CB7" w:rsidRPr="008A7CB7">
        <w:rPr>
          <w:rFonts w:ascii="Arial" w:hAnsi="Arial" w:cs="Arial"/>
          <w:sz w:val="22"/>
          <w:szCs w:val="22"/>
        </w:rPr>
        <w:t xml:space="preserve"> </w:t>
      </w:r>
      <w:r w:rsidRPr="008A7CB7">
        <w:rPr>
          <w:rFonts w:ascii="Arial" w:hAnsi="Arial" w:cs="Arial"/>
          <w:sz w:val="22"/>
          <w:szCs w:val="22"/>
        </w:rPr>
        <w:t xml:space="preserve">2013. </w:t>
      </w:r>
      <w:r w:rsidRPr="008A7CB7">
        <w:rPr>
          <w:rFonts w:ascii="Arial" w:hAnsi="Arial" w:cs="Arial"/>
          <w:i/>
          <w:sz w:val="22"/>
          <w:szCs w:val="22"/>
        </w:rPr>
        <w:t xml:space="preserve">Describing </w:t>
      </w:r>
      <w:r w:rsidR="008A7CB7" w:rsidRPr="008A7CB7">
        <w:rPr>
          <w:rFonts w:ascii="Arial" w:hAnsi="Arial" w:cs="Arial"/>
          <w:i/>
          <w:sz w:val="22"/>
          <w:szCs w:val="22"/>
        </w:rPr>
        <w:t>A</w:t>
      </w:r>
      <w:r w:rsidRPr="008A7CB7">
        <w:rPr>
          <w:rFonts w:ascii="Arial" w:hAnsi="Arial" w:cs="Arial"/>
          <w:i/>
          <w:sz w:val="22"/>
          <w:szCs w:val="22"/>
        </w:rPr>
        <w:t xml:space="preserve">rchives: A </w:t>
      </w:r>
      <w:r w:rsidR="008A7CB7" w:rsidRPr="008A7CB7">
        <w:rPr>
          <w:rFonts w:ascii="Arial" w:hAnsi="Arial" w:cs="Arial"/>
          <w:i/>
          <w:sz w:val="22"/>
          <w:szCs w:val="22"/>
        </w:rPr>
        <w:t>C</w:t>
      </w:r>
      <w:r w:rsidRPr="008A7CB7">
        <w:rPr>
          <w:rFonts w:ascii="Arial" w:hAnsi="Arial" w:cs="Arial"/>
          <w:i/>
          <w:sz w:val="22"/>
          <w:szCs w:val="22"/>
        </w:rPr>
        <w:t xml:space="preserve">ontent </w:t>
      </w:r>
      <w:r w:rsidR="008A7CB7" w:rsidRPr="008A7CB7">
        <w:rPr>
          <w:rFonts w:ascii="Arial" w:hAnsi="Arial" w:cs="Arial"/>
          <w:i/>
          <w:sz w:val="22"/>
          <w:szCs w:val="22"/>
        </w:rPr>
        <w:t>S</w:t>
      </w:r>
      <w:r w:rsidRPr="008A7CB7">
        <w:rPr>
          <w:rFonts w:ascii="Arial" w:hAnsi="Arial" w:cs="Arial"/>
          <w:i/>
          <w:sz w:val="22"/>
          <w:szCs w:val="22"/>
        </w:rPr>
        <w:t>tandard</w:t>
      </w:r>
      <w:r w:rsidRPr="008A7CB7">
        <w:rPr>
          <w:rFonts w:ascii="Arial" w:hAnsi="Arial" w:cs="Arial"/>
          <w:sz w:val="22"/>
          <w:szCs w:val="22"/>
        </w:rPr>
        <w:t>. Chicago</w:t>
      </w:r>
      <w:r w:rsidR="008A7CB7" w:rsidRPr="008A7CB7">
        <w:rPr>
          <w:rFonts w:ascii="Arial" w:hAnsi="Arial" w:cs="Arial"/>
          <w:sz w:val="22"/>
          <w:szCs w:val="22"/>
        </w:rPr>
        <w:t xml:space="preserve">: </w:t>
      </w:r>
      <w:r w:rsidRPr="008A7CB7">
        <w:rPr>
          <w:rFonts w:ascii="Arial" w:hAnsi="Arial" w:cs="Arial"/>
          <w:sz w:val="22"/>
          <w:szCs w:val="22"/>
        </w:rPr>
        <w:t xml:space="preserve">Society of American Archivists. </w:t>
      </w:r>
    </w:p>
    <w:p w14:paraId="1910EB85" w14:textId="4DCBD7D4" w:rsidR="00413346" w:rsidRPr="00413346" w:rsidRDefault="00413346" w:rsidP="00413346">
      <w:pPr>
        <w:ind w:firstLine="0"/>
        <w:rPr>
          <w:rFonts w:ascii="Arial" w:hAnsi="Arial" w:cs="Arial"/>
          <w:sz w:val="22"/>
          <w:szCs w:val="22"/>
        </w:rPr>
      </w:pPr>
      <w:r w:rsidRPr="00413346">
        <w:rPr>
          <w:rFonts w:ascii="Arial" w:hAnsi="Arial" w:cs="Arial"/>
          <w:sz w:val="22"/>
          <w:szCs w:val="22"/>
        </w:rPr>
        <w:t>“</w:t>
      </w:r>
      <w:proofErr w:type="spellStart"/>
      <w:r w:rsidRPr="00413346">
        <w:rPr>
          <w:rFonts w:ascii="Arial" w:hAnsi="Arial" w:cs="Arial"/>
          <w:sz w:val="22"/>
          <w:szCs w:val="22"/>
        </w:rPr>
        <w:t>Wikidata</w:t>
      </w:r>
      <w:proofErr w:type="spellEnd"/>
      <w:r w:rsidRPr="00413346">
        <w:rPr>
          <w:rFonts w:ascii="Arial" w:hAnsi="Arial" w:cs="Arial"/>
          <w:sz w:val="22"/>
          <w:szCs w:val="22"/>
        </w:rPr>
        <w:t>.” Accessed October 27, 2020. https://www.wikidata.org/wiki/Wikidata:Main_Page.</w:t>
      </w:r>
    </w:p>
    <w:p w14:paraId="3AF2070A" w14:textId="77777777" w:rsidR="008B5332" w:rsidRPr="008B5332" w:rsidRDefault="008B5332" w:rsidP="008B5332"/>
    <w:p w14:paraId="3A5E6185" w14:textId="77777777" w:rsidR="00DE68FA" w:rsidRPr="00DC088A" w:rsidRDefault="00DE68FA" w:rsidP="00DC088A">
      <w:pPr>
        <w:ind w:firstLine="0"/>
        <w:rPr>
          <w:rFonts w:ascii="Arial" w:hAnsi="Arial" w:cs="Arial"/>
          <w:sz w:val="22"/>
          <w:szCs w:val="22"/>
          <w:lang w:val="tr-TR"/>
        </w:rPr>
      </w:pPr>
    </w:p>
    <w:sectPr w:rsidR="00DE68FA" w:rsidRPr="00DC088A" w:rsidSect="000D7DF1">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06AE" w14:textId="77777777" w:rsidR="00F52049" w:rsidRDefault="00F52049" w:rsidP="000D7DF1">
      <w:pPr>
        <w:spacing w:after="0"/>
      </w:pPr>
      <w:r>
        <w:separator/>
      </w:r>
    </w:p>
  </w:endnote>
  <w:endnote w:type="continuationSeparator" w:id="0">
    <w:p w14:paraId="30CBF5CC" w14:textId="77777777" w:rsidR="00F52049" w:rsidRDefault="00F52049"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F5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9BB2" w14:textId="77777777" w:rsidR="00F52049" w:rsidRDefault="00F52049" w:rsidP="000D7DF1">
      <w:pPr>
        <w:spacing w:after="0"/>
      </w:pPr>
      <w:r>
        <w:separator/>
      </w:r>
    </w:p>
  </w:footnote>
  <w:footnote w:type="continuationSeparator" w:id="0">
    <w:p w14:paraId="097D241A" w14:textId="77777777" w:rsidR="00F52049" w:rsidRDefault="00F52049"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30C0D"/>
    <w:rsid w:val="000510EA"/>
    <w:rsid w:val="000610BD"/>
    <w:rsid w:val="00067888"/>
    <w:rsid w:val="000715E5"/>
    <w:rsid w:val="000A109C"/>
    <w:rsid w:val="000A323E"/>
    <w:rsid w:val="000B4BE3"/>
    <w:rsid w:val="000B69AE"/>
    <w:rsid w:val="000D46DA"/>
    <w:rsid w:val="000D5669"/>
    <w:rsid w:val="000D7DF1"/>
    <w:rsid w:val="000F67A6"/>
    <w:rsid w:val="00137A9B"/>
    <w:rsid w:val="0016692E"/>
    <w:rsid w:val="001D5829"/>
    <w:rsid w:val="001E2B18"/>
    <w:rsid w:val="001E5837"/>
    <w:rsid w:val="00252B83"/>
    <w:rsid w:val="002564EC"/>
    <w:rsid w:val="002B6B49"/>
    <w:rsid w:val="002C13A3"/>
    <w:rsid w:val="002C684D"/>
    <w:rsid w:val="002C6B0A"/>
    <w:rsid w:val="002E00C2"/>
    <w:rsid w:val="002E6537"/>
    <w:rsid w:val="00313A83"/>
    <w:rsid w:val="00314159"/>
    <w:rsid w:val="0032310C"/>
    <w:rsid w:val="00335E97"/>
    <w:rsid w:val="00344B12"/>
    <w:rsid w:val="0034599E"/>
    <w:rsid w:val="00345EB5"/>
    <w:rsid w:val="00350751"/>
    <w:rsid w:val="00371540"/>
    <w:rsid w:val="003B1FB6"/>
    <w:rsid w:val="0040120A"/>
    <w:rsid w:val="00413346"/>
    <w:rsid w:val="00414583"/>
    <w:rsid w:val="00423E03"/>
    <w:rsid w:val="00432DEE"/>
    <w:rsid w:val="00461827"/>
    <w:rsid w:val="0048153D"/>
    <w:rsid w:val="00484333"/>
    <w:rsid w:val="004A5194"/>
    <w:rsid w:val="004A750C"/>
    <w:rsid w:val="005177D2"/>
    <w:rsid w:val="00523112"/>
    <w:rsid w:val="0055260A"/>
    <w:rsid w:val="00571B2B"/>
    <w:rsid w:val="005938B1"/>
    <w:rsid w:val="005A46E0"/>
    <w:rsid w:val="005C7410"/>
    <w:rsid w:val="005F7124"/>
    <w:rsid w:val="006108E9"/>
    <w:rsid w:val="00622E70"/>
    <w:rsid w:val="00640237"/>
    <w:rsid w:val="0065115E"/>
    <w:rsid w:val="00664FCA"/>
    <w:rsid w:val="0066595F"/>
    <w:rsid w:val="00672480"/>
    <w:rsid w:val="00695E89"/>
    <w:rsid w:val="006B1900"/>
    <w:rsid w:val="006D45FF"/>
    <w:rsid w:val="006D666C"/>
    <w:rsid w:val="006E7482"/>
    <w:rsid w:val="00706430"/>
    <w:rsid w:val="00707FC0"/>
    <w:rsid w:val="00713ADE"/>
    <w:rsid w:val="007C441E"/>
    <w:rsid w:val="007D3F0A"/>
    <w:rsid w:val="007E09F1"/>
    <w:rsid w:val="007E5857"/>
    <w:rsid w:val="00810B5C"/>
    <w:rsid w:val="00826D2B"/>
    <w:rsid w:val="008349B3"/>
    <w:rsid w:val="00835F6E"/>
    <w:rsid w:val="00866FCA"/>
    <w:rsid w:val="00876728"/>
    <w:rsid w:val="0089497E"/>
    <w:rsid w:val="00894B15"/>
    <w:rsid w:val="008A7CB7"/>
    <w:rsid w:val="008B5332"/>
    <w:rsid w:val="008B7E21"/>
    <w:rsid w:val="008C2BA6"/>
    <w:rsid w:val="009357B5"/>
    <w:rsid w:val="00967687"/>
    <w:rsid w:val="00967D5E"/>
    <w:rsid w:val="00971421"/>
    <w:rsid w:val="0097700C"/>
    <w:rsid w:val="009772AD"/>
    <w:rsid w:val="0098432C"/>
    <w:rsid w:val="009A1FBA"/>
    <w:rsid w:val="009A776F"/>
    <w:rsid w:val="009A7E88"/>
    <w:rsid w:val="009D4ECA"/>
    <w:rsid w:val="009F37DC"/>
    <w:rsid w:val="00A0202C"/>
    <w:rsid w:val="00A172EF"/>
    <w:rsid w:val="00A62DED"/>
    <w:rsid w:val="00A95123"/>
    <w:rsid w:val="00AA58F9"/>
    <w:rsid w:val="00AE31D9"/>
    <w:rsid w:val="00B56B1D"/>
    <w:rsid w:val="00B634D9"/>
    <w:rsid w:val="00B8733A"/>
    <w:rsid w:val="00BA0A3E"/>
    <w:rsid w:val="00BE311D"/>
    <w:rsid w:val="00BF3710"/>
    <w:rsid w:val="00C035AA"/>
    <w:rsid w:val="00C134D8"/>
    <w:rsid w:val="00C664A9"/>
    <w:rsid w:val="00C816EA"/>
    <w:rsid w:val="00C91FA8"/>
    <w:rsid w:val="00C94AE2"/>
    <w:rsid w:val="00C96EB5"/>
    <w:rsid w:val="00CA77BB"/>
    <w:rsid w:val="00CB75E5"/>
    <w:rsid w:val="00CF1861"/>
    <w:rsid w:val="00D028B2"/>
    <w:rsid w:val="00D15F42"/>
    <w:rsid w:val="00D45ED4"/>
    <w:rsid w:val="00D96A02"/>
    <w:rsid w:val="00DB0C25"/>
    <w:rsid w:val="00DC088A"/>
    <w:rsid w:val="00DD34F9"/>
    <w:rsid w:val="00DD6D40"/>
    <w:rsid w:val="00DE336F"/>
    <w:rsid w:val="00DE68FA"/>
    <w:rsid w:val="00E00099"/>
    <w:rsid w:val="00E14D93"/>
    <w:rsid w:val="00E31F9B"/>
    <w:rsid w:val="00E33D8D"/>
    <w:rsid w:val="00E52CEE"/>
    <w:rsid w:val="00E72772"/>
    <w:rsid w:val="00E9550C"/>
    <w:rsid w:val="00EA3700"/>
    <w:rsid w:val="00EA3A13"/>
    <w:rsid w:val="00EB4765"/>
    <w:rsid w:val="00EB5C88"/>
    <w:rsid w:val="00EF509E"/>
    <w:rsid w:val="00F12625"/>
    <w:rsid w:val="00F5153F"/>
    <w:rsid w:val="00F52049"/>
    <w:rsid w:val="00F7243A"/>
    <w:rsid w:val="00F855BF"/>
    <w:rsid w:val="00F91E81"/>
    <w:rsid w:val="00FA7470"/>
    <w:rsid w:val="00FB0166"/>
    <w:rsid w:val="00FB1B88"/>
    <w:rsid w:val="00FD4E82"/>
    <w:rsid w:val="00FE3729"/>
    <w:rsid w:val="00FF50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7642">
      <w:bodyDiv w:val="1"/>
      <w:marLeft w:val="0"/>
      <w:marRight w:val="0"/>
      <w:marTop w:val="0"/>
      <w:marBottom w:val="0"/>
      <w:divBdr>
        <w:top w:val="none" w:sz="0" w:space="0" w:color="auto"/>
        <w:left w:val="none" w:sz="0" w:space="0" w:color="auto"/>
        <w:bottom w:val="none" w:sz="0" w:space="0" w:color="auto"/>
        <w:right w:val="none" w:sz="0" w:space="0" w:color="auto"/>
      </w:divBdr>
      <w:divsChild>
        <w:div w:id="534000831">
          <w:marLeft w:val="0"/>
          <w:marRight w:val="0"/>
          <w:marTop w:val="0"/>
          <w:marBottom w:val="0"/>
          <w:divBdr>
            <w:top w:val="none" w:sz="0" w:space="0" w:color="auto"/>
            <w:left w:val="none" w:sz="0" w:space="0" w:color="auto"/>
            <w:bottom w:val="none" w:sz="0" w:space="0" w:color="auto"/>
            <w:right w:val="none" w:sz="0" w:space="0" w:color="auto"/>
          </w:divBdr>
          <w:divsChild>
            <w:div w:id="15956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0825">
      <w:bodyDiv w:val="1"/>
      <w:marLeft w:val="0"/>
      <w:marRight w:val="0"/>
      <w:marTop w:val="0"/>
      <w:marBottom w:val="0"/>
      <w:divBdr>
        <w:top w:val="none" w:sz="0" w:space="0" w:color="auto"/>
        <w:left w:val="none" w:sz="0" w:space="0" w:color="auto"/>
        <w:bottom w:val="none" w:sz="0" w:space="0" w:color="auto"/>
        <w:right w:val="none" w:sz="0" w:space="0" w:color="auto"/>
      </w:divBdr>
      <w:divsChild>
        <w:div w:id="1740051668">
          <w:marLeft w:val="0"/>
          <w:marRight w:val="0"/>
          <w:marTop w:val="0"/>
          <w:marBottom w:val="0"/>
          <w:divBdr>
            <w:top w:val="none" w:sz="0" w:space="0" w:color="auto"/>
            <w:left w:val="none" w:sz="0" w:space="0" w:color="auto"/>
            <w:bottom w:val="none" w:sz="0" w:space="0" w:color="auto"/>
            <w:right w:val="none" w:sz="0" w:space="0" w:color="auto"/>
          </w:divBdr>
          <w:divsChild>
            <w:div w:id="6262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808">
      <w:bodyDiv w:val="1"/>
      <w:marLeft w:val="0"/>
      <w:marRight w:val="0"/>
      <w:marTop w:val="0"/>
      <w:marBottom w:val="0"/>
      <w:divBdr>
        <w:top w:val="none" w:sz="0" w:space="0" w:color="auto"/>
        <w:left w:val="none" w:sz="0" w:space="0" w:color="auto"/>
        <w:bottom w:val="none" w:sz="0" w:space="0" w:color="auto"/>
        <w:right w:val="none" w:sz="0" w:space="0" w:color="auto"/>
      </w:divBdr>
      <w:divsChild>
        <w:div w:id="984748227">
          <w:marLeft w:val="0"/>
          <w:marRight w:val="0"/>
          <w:marTop w:val="0"/>
          <w:marBottom w:val="0"/>
          <w:divBdr>
            <w:top w:val="none" w:sz="0" w:space="0" w:color="auto"/>
            <w:left w:val="none" w:sz="0" w:space="0" w:color="auto"/>
            <w:bottom w:val="none" w:sz="0" w:space="0" w:color="auto"/>
            <w:right w:val="none" w:sz="0" w:space="0" w:color="auto"/>
          </w:divBdr>
          <w:divsChild>
            <w:div w:id="12666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8531">
      <w:bodyDiv w:val="1"/>
      <w:marLeft w:val="0"/>
      <w:marRight w:val="0"/>
      <w:marTop w:val="0"/>
      <w:marBottom w:val="0"/>
      <w:divBdr>
        <w:top w:val="none" w:sz="0" w:space="0" w:color="auto"/>
        <w:left w:val="none" w:sz="0" w:space="0" w:color="auto"/>
        <w:bottom w:val="none" w:sz="0" w:space="0" w:color="auto"/>
        <w:right w:val="none" w:sz="0" w:space="0" w:color="auto"/>
      </w:divBdr>
      <w:divsChild>
        <w:div w:id="555361782">
          <w:marLeft w:val="0"/>
          <w:marRight w:val="0"/>
          <w:marTop w:val="0"/>
          <w:marBottom w:val="0"/>
          <w:divBdr>
            <w:top w:val="none" w:sz="0" w:space="0" w:color="auto"/>
            <w:left w:val="none" w:sz="0" w:space="0" w:color="auto"/>
            <w:bottom w:val="none" w:sz="0" w:space="0" w:color="auto"/>
            <w:right w:val="none" w:sz="0" w:space="0" w:color="auto"/>
          </w:divBdr>
          <w:divsChild>
            <w:div w:id="1216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7431">
      <w:bodyDiv w:val="1"/>
      <w:marLeft w:val="0"/>
      <w:marRight w:val="0"/>
      <w:marTop w:val="0"/>
      <w:marBottom w:val="0"/>
      <w:divBdr>
        <w:top w:val="none" w:sz="0" w:space="0" w:color="auto"/>
        <w:left w:val="none" w:sz="0" w:space="0" w:color="auto"/>
        <w:bottom w:val="none" w:sz="0" w:space="0" w:color="auto"/>
        <w:right w:val="none" w:sz="0" w:space="0" w:color="auto"/>
      </w:divBdr>
      <w:divsChild>
        <w:div w:id="843396413">
          <w:marLeft w:val="0"/>
          <w:marRight w:val="0"/>
          <w:marTop w:val="0"/>
          <w:marBottom w:val="0"/>
          <w:divBdr>
            <w:top w:val="none" w:sz="0" w:space="0" w:color="auto"/>
            <w:left w:val="none" w:sz="0" w:space="0" w:color="auto"/>
            <w:bottom w:val="none" w:sz="0" w:space="0" w:color="auto"/>
            <w:right w:val="none" w:sz="0" w:space="0" w:color="auto"/>
          </w:divBdr>
          <w:divsChild>
            <w:div w:id="5563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2507">
      <w:bodyDiv w:val="1"/>
      <w:marLeft w:val="0"/>
      <w:marRight w:val="0"/>
      <w:marTop w:val="0"/>
      <w:marBottom w:val="0"/>
      <w:divBdr>
        <w:top w:val="none" w:sz="0" w:space="0" w:color="auto"/>
        <w:left w:val="none" w:sz="0" w:space="0" w:color="auto"/>
        <w:bottom w:val="none" w:sz="0" w:space="0" w:color="auto"/>
        <w:right w:val="none" w:sz="0" w:space="0" w:color="auto"/>
      </w:divBdr>
      <w:divsChild>
        <w:div w:id="1887912537">
          <w:marLeft w:val="0"/>
          <w:marRight w:val="0"/>
          <w:marTop w:val="0"/>
          <w:marBottom w:val="0"/>
          <w:divBdr>
            <w:top w:val="none" w:sz="0" w:space="0" w:color="auto"/>
            <w:left w:val="none" w:sz="0" w:space="0" w:color="auto"/>
            <w:bottom w:val="none" w:sz="0" w:space="0" w:color="auto"/>
            <w:right w:val="none" w:sz="0" w:space="0" w:color="auto"/>
          </w:divBdr>
          <w:divsChild>
            <w:div w:id="495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8932">
      <w:bodyDiv w:val="1"/>
      <w:marLeft w:val="0"/>
      <w:marRight w:val="0"/>
      <w:marTop w:val="0"/>
      <w:marBottom w:val="0"/>
      <w:divBdr>
        <w:top w:val="none" w:sz="0" w:space="0" w:color="auto"/>
        <w:left w:val="none" w:sz="0" w:space="0" w:color="auto"/>
        <w:bottom w:val="none" w:sz="0" w:space="0" w:color="auto"/>
        <w:right w:val="none" w:sz="0" w:space="0" w:color="auto"/>
      </w:divBdr>
      <w:divsChild>
        <w:div w:id="1774786238">
          <w:marLeft w:val="0"/>
          <w:marRight w:val="0"/>
          <w:marTop w:val="0"/>
          <w:marBottom w:val="0"/>
          <w:divBdr>
            <w:top w:val="none" w:sz="0" w:space="0" w:color="auto"/>
            <w:left w:val="none" w:sz="0" w:space="0" w:color="auto"/>
            <w:bottom w:val="none" w:sz="0" w:space="0" w:color="auto"/>
            <w:right w:val="none" w:sz="0" w:space="0" w:color="auto"/>
          </w:divBdr>
          <w:divsChild>
            <w:div w:id="7705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7EF0-11F5-491E-84B3-0B06F47F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Dobreski, Brian Josep</cp:lastModifiedBy>
  <cp:revision>22</cp:revision>
  <cp:lastPrinted>2014-05-08T08:59:00Z</cp:lastPrinted>
  <dcterms:created xsi:type="dcterms:W3CDTF">2020-10-28T14:05:00Z</dcterms:created>
  <dcterms:modified xsi:type="dcterms:W3CDTF">2020-10-29T14:26:00Z</dcterms:modified>
</cp:coreProperties>
</file>