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C5D7A" w14:textId="77777777" w:rsidR="000D66FF" w:rsidRPr="009F78D4" w:rsidRDefault="009F78D4" w:rsidP="003554FC">
      <w:pPr>
        <w:pStyle w:val="Paper-Title"/>
        <w:ind w:firstLine="0"/>
        <w:rPr>
          <w:rFonts w:ascii="Arial" w:hAnsi="Arial" w:cs="Arial"/>
          <w:sz w:val="28"/>
        </w:rPr>
      </w:pPr>
      <w:r w:rsidRPr="009F78D4">
        <w:rPr>
          <w:rFonts w:ascii="Arial" w:hAnsi="Arial" w:cs="Arial"/>
          <w:sz w:val="28"/>
          <w:szCs w:val="28"/>
          <w:lang w:val="en"/>
        </w:rPr>
        <w:t>Library Service Capital: The Case for Measuring and Managing Intangible Assets</w:t>
      </w:r>
      <w:r w:rsidR="000D66FF" w:rsidRPr="009F78D4">
        <w:rPr>
          <w:rFonts w:ascii="Arial" w:hAnsi="Arial" w:cs="Arial"/>
          <w:sz w:val="28"/>
        </w:rPr>
        <w:t xml:space="preserve"> </w:t>
      </w:r>
    </w:p>
    <w:p w14:paraId="2E2AC852" w14:textId="77777777" w:rsidR="000D66FF" w:rsidRPr="008552A8" w:rsidRDefault="000D66FF" w:rsidP="0058782B">
      <w:pPr>
        <w:pStyle w:val="Paper-Title"/>
        <w:spacing w:after="60"/>
        <w:ind w:firstLine="0"/>
        <w:jc w:val="both"/>
        <w:rPr>
          <w:rFonts w:ascii="Arial" w:hAnsi="Arial" w:cs="Arial"/>
        </w:rPr>
      </w:pPr>
    </w:p>
    <w:p w14:paraId="3A53B1B4" w14:textId="77777777" w:rsidR="000D66FF" w:rsidRPr="008552A8" w:rsidRDefault="0058782B" w:rsidP="000D66FF">
      <w:pPr>
        <w:pStyle w:val="Author"/>
        <w:ind w:firstLine="0"/>
        <w:rPr>
          <w:rFonts w:ascii="Arial" w:hAnsi="Arial" w:cs="Arial"/>
          <w:sz w:val="24"/>
        </w:rPr>
      </w:pPr>
      <w:r>
        <w:rPr>
          <w:rFonts w:ascii="Arial" w:hAnsi="Arial" w:cs="Arial"/>
          <w:sz w:val="24"/>
        </w:rPr>
        <w:t>Sheila Co</w:t>
      </w:r>
      <w:r w:rsidR="000D66FF" w:rsidRPr="008552A8">
        <w:rPr>
          <w:rFonts w:ascii="Arial" w:hAnsi="Arial" w:cs="Arial"/>
          <w:sz w:val="24"/>
        </w:rPr>
        <w:t>r</w:t>
      </w:r>
      <w:r>
        <w:rPr>
          <w:rFonts w:ascii="Arial" w:hAnsi="Arial" w:cs="Arial"/>
          <w:sz w:val="24"/>
        </w:rPr>
        <w:t>rall</w:t>
      </w:r>
    </w:p>
    <w:p w14:paraId="37D51DE8" w14:textId="5E898C56" w:rsidR="000D66FF" w:rsidRDefault="0058782B" w:rsidP="000D66FF">
      <w:pPr>
        <w:pStyle w:val="Author"/>
        <w:ind w:firstLine="0"/>
        <w:rPr>
          <w:rFonts w:ascii="Arial" w:hAnsi="Arial" w:cs="Arial"/>
          <w:b w:val="0"/>
          <w:bCs/>
        </w:rPr>
      </w:pPr>
      <w:r w:rsidRPr="0090792D">
        <w:rPr>
          <w:rFonts w:ascii="Arial" w:hAnsi="Arial" w:cs="Arial"/>
          <w:b w:val="0"/>
          <w:bCs/>
          <w:sz w:val="22"/>
          <w:szCs w:val="22"/>
        </w:rPr>
        <w:t>University of Pittsburgh, USA</w:t>
      </w:r>
      <w:r w:rsidR="000D66FF" w:rsidRPr="0090792D">
        <w:rPr>
          <w:rFonts w:ascii="Arial" w:hAnsi="Arial" w:cs="Arial"/>
          <w:sz w:val="22"/>
          <w:szCs w:val="22"/>
        </w:rPr>
        <w:t xml:space="preserve">.  </w:t>
      </w:r>
      <w:r w:rsidR="000D66FF" w:rsidRPr="0090792D">
        <w:rPr>
          <w:rFonts w:ascii="Arial" w:hAnsi="Arial" w:cs="Arial"/>
          <w:b w:val="0"/>
          <w:bCs/>
          <w:sz w:val="22"/>
          <w:szCs w:val="22"/>
        </w:rPr>
        <w:t xml:space="preserve">Email: </w:t>
      </w:r>
      <w:hyperlink r:id="rId8" w:history="1">
        <w:r w:rsidR="00EF5992" w:rsidRPr="006F7C06">
          <w:rPr>
            <w:rStyle w:val="Hyperlink"/>
            <w:rFonts w:ascii="Arial" w:hAnsi="Arial" w:cs="Arial"/>
            <w:b w:val="0"/>
            <w:bCs/>
            <w:sz w:val="22"/>
            <w:szCs w:val="22"/>
          </w:rPr>
          <w:t>scorrall@pitt.edu</w:t>
        </w:r>
      </w:hyperlink>
      <w:r>
        <w:rPr>
          <w:rFonts w:ascii="Arial" w:hAnsi="Arial" w:cs="Arial"/>
          <w:b w:val="0"/>
          <w:bCs/>
        </w:rPr>
        <w:t>.</w:t>
      </w:r>
    </w:p>
    <w:p w14:paraId="71CD562D" w14:textId="77777777" w:rsidR="00EF5992" w:rsidRPr="00EF5992" w:rsidRDefault="00EF5992" w:rsidP="000D66FF">
      <w:pPr>
        <w:pStyle w:val="Author"/>
        <w:ind w:firstLine="0"/>
        <w:rPr>
          <w:rFonts w:ascii="Arial" w:hAnsi="Arial" w:cs="Arial"/>
          <w:sz w:val="32"/>
          <w:szCs w:val="32"/>
        </w:rPr>
      </w:pPr>
    </w:p>
    <w:p w14:paraId="05E92D1E" w14:textId="77777777" w:rsidR="00970539" w:rsidRDefault="00970539" w:rsidP="000D66FF">
      <w:pPr>
        <w:pStyle w:val="Paper-Title"/>
        <w:spacing w:after="60"/>
        <w:jc w:val="both"/>
        <w:rPr>
          <w:rFonts w:ascii="Arial" w:hAnsi="Arial" w:cs="Arial"/>
          <w:b w:val="0"/>
          <w:bCs/>
          <w:sz w:val="24"/>
        </w:rPr>
        <w:sectPr w:rsidR="00970539" w:rsidSect="00970539">
          <w:footerReference w:type="even" r:id="rId9"/>
          <w:pgSz w:w="11894" w:h="16819" w:code="1"/>
          <w:pgMar w:top="1440" w:right="1080" w:bottom="1440" w:left="1080" w:header="720" w:footer="720" w:gutter="0"/>
          <w:cols w:space="490"/>
        </w:sectPr>
      </w:pPr>
    </w:p>
    <w:p w14:paraId="5D749796" w14:textId="77777777" w:rsidR="000D66FF" w:rsidRPr="008552A8" w:rsidRDefault="000D66FF" w:rsidP="00C05074">
      <w:pPr>
        <w:pStyle w:val="Heading1"/>
        <w:spacing w:after="80"/>
        <w:rPr>
          <w:rFonts w:ascii="Arial" w:hAnsi="Arial" w:cs="Arial"/>
        </w:rPr>
      </w:pPr>
      <w:r w:rsidRPr="008552A8">
        <w:rPr>
          <w:rFonts w:ascii="Arial" w:hAnsi="Arial" w:cs="Arial"/>
        </w:rPr>
        <w:lastRenderedPageBreak/>
        <w:t>Abstract</w:t>
      </w:r>
    </w:p>
    <w:p w14:paraId="5CE83E77" w14:textId="6F6687BE" w:rsidR="00830165" w:rsidRDefault="00830165" w:rsidP="00A24016">
      <w:pPr>
        <w:spacing w:before="40"/>
        <w:rPr>
          <w:rFonts w:ascii="Arial" w:hAnsi="Arial" w:cs="Arial"/>
          <w:b/>
          <w:lang w:val="en"/>
        </w:rPr>
      </w:pPr>
      <w:r w:rsidRPr="00D55469">
        <w:rPr>
          <w:rFonts w:ascii="Arial" w:hAnsi="Arial" w:cs="Arial"/>
          <w:b/>
          <w:i/>
          <w:lang w:val="en"/>
        </w:rPr>
        <w:t>Introduction</w:t>
      </w:r>
      <w:r w:rsidR="00CB46BD" w:rsidRPr="00D55469">
        <w:rPr>
          <w:rFonts w:ascii="Arial" w:hAnsi="Arial" w:cs="Arial"/>
          <w:b/>
          <w:i/>
          <w:lang w:val="en"/>
        </w:rPr>
        <w:t xml:space="preserve">. </w:t>
      </w:r>
      <w:r w:rsidRPr="00D55469">
        <w:rPr>
          <w:rFonts w:ascii="Arial" w:hAnsi="Arial" w:cs="Arial"/>
          <w:b/>
          <w:lang w:val="en"/>
        </w:rPr>
        <w:t xml:space="preserve">Libraries </w:t>
      </w:r>
      <w:r w:rsidR="00220989">
        <w:rPr>
          <w:rFonts w:ascii="Arial" w:hAnsi="Arial" w:cs="Arial"/>
          <w:b/>
          <w:lang w:val="en"/>
        </w:rPr>
        <w:t>are continually evolving</w:t>
      </w:r>
      <w:r w:rsidRPr="00D55469">
        <w:rPr>
          <w:rFonts w:ascii="Arial" w:hAnsi="Arial" w:cs="Arial"/>
          <w:b/>
          <w:lang w:val="en"/>
        </w:rPr>
        <w:t xml:space="preserve"> their services and assessment methods, but need a new lens to understand their position.</w:t>
      </w:r>
      <w:r w:rsidR="00825C1E" w:rsidRPr="00D55469">
        <w:rPr>
          <w:rFonts w:ascii="Arial" w:hAnsi="Arial" w:cs="Arial"/>
          <w:b/>
          <w:lang w:val="en"/>
        </w:rPr>
        <w:t xml:space="preserve"> Library assessment has evolved from operational statistics to strategic management systems using quantitative and qualitative methods from business and social research, </w:t>
      </w:r>
      <w:r w:rsidR="004F0067" w:rsidRPr="00D55469">
        <w:rPr>
          <w:rFonts w:ascii="Arial" w:hAnsi="Arial" w:cs="Arial"/>
          <w:b/>
          <w:lang w:val="en"/>
        </w:rPr>
        <w:t xml:space="preserve">Literature suggests intellectual capital theory could assist libraries to develop new, improved measures of performance and value for the network world, particularly </w:t>
      </w:r>
      <w:r w:rsidR="00162189">
        <w:rPr>
          <w:rFonts w:ascii="Arial" w:hAnsi="Arial" w:cs="Arial"/>
          <w:b/>
          <w:lang w:val="en"/>
        </w:rPr>
        <w:t>for</w:t>
      </w:r>
      <w:r w:rsidR="004F0067" w:rsidRPr="00D55469">
        <w:rPr>
          <w:rFonts w:ascii="Arial" w:hAnsi="Arial" w:cs="Arial"/>
          <w:b/>
          <w:lang w:val="en"/>
        </w:rPr>
        <w:t xml:space="preserve"> staff capability</w:t>
      </w:r>
      <w:r w:rsidR="00155094" w:rsidRPr="00D55469">
        <w:rPr>
          <w:rFonts w:ascii="Arial" w:hAnsi="Arial" w:cs="Arial"/>
          <w:b/>
          <w:lang w:val="en"/>
        </w:rPr>
        <w:t xml:space="preserve"> and relationship management</w:t>
      </w:r>
      <w:r w:rsidR="004F0067" w:rsidRPr="00D55469">
        <w:rPr>
          <w:rFonts w:ascii="Arial" w:hAnsi="Arial" w:cs="Arial"/>
          <w:b/>
          <w:lang w:val="en"/>
        </w:rPr>
        <w:t>, as a gap in current systems</w:t>
      </w:r>
      <w:r w:rsidR="00C0529B">
        <w:rPr>
          <w:rFonts w:ascii="Arial" w:hAnsi="Arial" w:cs="Arial"/>
          <w:b/>
          <w:lang w:val="en"/>
        </w:rPr>
        <w:t>.</w:t>
      </w:r>
    </w:p>
    <w:p w14:paraId="54B1476D" w14:textId="22831FC5" w:rsidR="0050359D" w:rsidRPr="0050359D" w:rsidRDefault="0050359D" w:rsidP="00C05074">
      <w:pPr>
        <w:rPr>
          <w:rFonts w:ascii="Arial" w:hAnsi="Arial" w:cs="Arial"/>
          <w:b/>
          <w:i/>
          <w:lang w:val="en"/>
        </w:rPr>
      </w:pPr>
      <w:r>
        <w:rPr>
          <w:rFonts w:ascii="Arial" w:hAnsi="Arial" w:cs="Arial"/>
          <w:b/>
          <w:i/>
          <w:lang w:val="en"/>
        </w:rPr>
        <w:t xml:space="preserve">Purpose. </w:t>
      </w:r>
      <w:r>
        <w:rPr>
          <w:rFonts w:ascii="Arial" w:hAnsi="Arial" w:cs="Arial"/>
          <w:b/>
          <w:lang w:val="en"/>
        </w:rPr>
        <w:t>The study investigate</w:t>
      </w:r>
      <w:r w:rsidR="008C34BE">
        <w:rPr>
          <w:rFonts w:ascii="Arial" w:hAnsi="Arial" w:cs="Arial"/>
          <w:b/>
          <w:lang w:val="en"/>
        </w:rPr>
        <w:t>s</w:t>
      </w:r>
      <w:r>
        <w:rPr>
          <w:rFonts w:ascii="Arial" w:hAnsi="Arial" w:cs="Arial"/>
          <w:b/>
          <w:lang w:val="en"/>
        </w:rPr>
        <w:t xml:space="preserve"> </w:t>
      </w:r>
      <w:r w:rsidRPr="00D55469">
        <w:rPr>
          <w:rFonts w:ascii="Arial" w:hAnsi="Arial" w:cs="Arial"/>
          <w:b/>
          <w:lang w:val="en"/>
        </w:rPr>
        <w:t xml:space="preserve">intangible assets </w:t>
      </w:r>
      <w:r>
        <w:rPr>
          <w:rFonts w:ascii="Arial" w:hAnsi="Arial" w:cs="Arial"/>
          <w:b/>
          <w:lang w:val="en"/>
        </w:rPr>
        <w:t xml:space="preserve">that </w:t>
      </w:r>
      <w:r w:rsidRPr="00D55469">
        <w:rPr>
          <w:rFonts w:ascii="Arial" w:hAnsi="Arial" w:cs="Arial"/>
          <w:b/>
          <w:lang w:val="en"/>
        </w:rPr>
        <w:t xml:space="preserve">academic libraries </w:t>
      </w:r>
      <w:r>
        <w:rPr>
          <w:rFonts w:ascii="Arial" w:hAnsi="Arial" w:cs="Arial"/>
          <w:b/>
          <w:lang w:val="en"/>
        </w:rPr>
        <w:t xml:space="preserve">are </w:t>
      </w:r>
      <w:r w:rsidRPr="00D55469">
        <w:rPr>
          <w:rFonts w:ascii="Arial" w:hAnsi="Arial" w:cs="Arial"/>
          <w:b/>
          <w:lang w:val="en"/>
        </w:rPr>
        <w:t>exploitin</w:t>
      </w:r>
      <w:r>
        <w:rPr>
          <w:rFonts w:ascii="Arial" w:hAnsi="Arial" w:cs="Arial"/>
          <w:b/>
          <w:lang w:val="en"/>
        </w:rPr>
        <w:t xml:space="preserve">g to compete in the digital age and  </w:t>
      </w:r>
      <w:r w:rsidRPr="00D55469">
        <w:rPr>
          <w:rFonts w:ascii="Arial" w:hAnsi="Arial" w:cs="Arial"/>
          <w:b/>
          <w:lang w:val="en"/>
        </w:rPr>
        <w:t xml:space="preserve">methods </w:t>
      </w:r>
      <w:r>
        <w:rPr>
          <w:rFonts w:ascii="Arial" w:hAnsi="Arial" w:cs="Arial"/>
          <w:b/>
          <w:lang w:val="en"/>
        </w:rPr>
        <w:t>that</w:t>
      </w:r>
      <w:r w:rsidRPr="00D55469">
        <w:rPr>
          <w:rFonts w:ascii="Arial" w:hAnsi="Arial" w:cs="Arial"/>
          <w:b/>
          <w:lang w:val="en"/>
        </w:rPr>
        <w:t xml:space="preserve"> libraries </w:t>
      </w:r>
      <w:r>
        <w:rPr>
          <w:rFonts w:ascii="Arial" w:hAnsi="Arial" w:cs="Arial"/>
          <w:b/>
          <w:lang w:val="en"/>
        </w:rPr>
        <w:t xml:space="preserve">can </w:t>
      </w:r>
      <w:r w:rsidRPr="00D55469">
        <w:rPr>
          <w:rFonts w:ascii="Arial" w:hAnsi="Arial" w:cs="Arial"/>
          <w:b/>
          <w:lang w:val="en"/>
        </w:rPr>
        <w:t xml:space="preserve">use to </w:t>
      </w:r>
      <w:r>
        <w:rPr>
          <w:rFonts w:ascii="Arial" w:hAnsi="Arial" w:cs="Arial"/>
          <w:b/>
          <w:lang w:val="en"/>
        </w:rPr>
        <w:t>assess intangible assets.</w:t>
      </w:r>
    </w:p>
    <w:p w14:paraId="300E0587" w14:textId="77777777" w:rsidR="00830165" w:rsidRPr="00D55469" w:rsidRDefault="00155094" w:rsidP="00442141">
      <w:pPr>
        <w:rPr>
          <w:rFonts w:ascii="Arial" w:hAnsi="Arial" w:cs="Arial"/>
          <w:b/>
          <w:i/>
          <w:lang w:val="en"/>
        </w:rPr>
      </w:pPr>
      <w:r w:rsidRPr="00D55469">
        <w:rPr>
          <w:rFonts w:ascii="Arial" w:hAnsi="Arial" w:cs="Arial"/>
          <w:b/>
          <w:i/>
          <w:lang w:val="en"/>
        </w:rPr>
        <w:t>Theoretical framework</w:t>
      </w:r>
      <w:r w:rsidR="00B92393" w:rsidRPr="00D55469">
        <w:rPr>
          <w:rFonts w:ascii="Arial" w:hAnsi="Arial" w:cs="Arial"/>
          <w:b/>
          <w:i/>
          <w:lang w:val="en"/>
        </w:rPr>
        <w:t xml:space="preserve">. </w:t>
      </w:r>
      <w:r w:rsidR="00830165" w:rsidRPr="00D55469">
        <w:rPr>
          <w:rFonts w:ascii="Arial" w:hAnsi="Arial" w:cs="Arial"/>
          <w:b/>
          <w:lang w:val="en"/>
        </w:rPr>
        <w:t xml:space="preserve">We use two paradigms: the resource-based view that recognizes </w:t>
      </w:r>
      <w:r w:rsidR="005D7F41">
        <w:rPr>
          <w:rFonts w:ascii="Arial" w:hAnsi="Arial" w:cs="Arial"/>
          <w:b/>
          <w:lang w:val="en"/>
        </w:rPr>
        <w:t>organizational</w:t>
      </w:r>
      <w:r w:rsidR="00830165" w:rsidRPr="00D55469">
        <w:rPr>
          <w:rFonts w:ascii="Arial" w:hAnsi="Arial" w:cs="Arial"/>
          <w:b/>
          <w:lang w:val="en"/>
        </w:rPr>
        <w:t xml:space="preserve"> assets as strategic resources whose value, </w:t>
      </w:r>
      <w:r w:rsidR="005D7F41">
        <w:rPr>
          <w:rFonts w:ascii="Arial" w:hAnsi="Arial" w:cs="Arial"/>
          <w:b/>
          <w:lang w:val="en"/>
        </w:rPr>
        <w:t xml:space="preserve">durability, </w:t>
      </w:r>
      <w:r w:rsidR="00830165" w:rsidRPr="00D55469">
        <w:rPr>
          <w:rFonts w:ascii="Arial" w:hAnsi="Arial" w:cs="Arial"/>
          <w:b/>
          <w:lang w:val="en"/>
        </w:rPr>
        <w:t>rarity, inimitability, and non-substitutability represent competitive advantage</w:t>
      </w:r>
      <w:r w:rsidR="00825C1E" w:rsidRPr="00D55469">
        <w:rPr>
          <w:rFonts w:ascii="Arial" w:hAnsi="Arial" w:cs="Arial"/>
          <w:b/>
          <w:lang w:val="en"/>
        </w:rPr>
        <w:t>;</w:t>
      </w:r>
      <w:r w:rsidR="00830165" w:rsidRPr="00D55469">
        <w:rPr>
          <w:rFonts w:ascii="Arial" w:hAnsi="Arial" w:cs="Arial"/>
          <w:b/>
          <w:lang w:val="en"/>
        </w:rPr>
        <w:t xml:space="preserve"> and the intellectual capital perspective, which regards human, structural, and customer/relational capital as long-term investments enabling value creation for stakeholders, </w:t>
      </w:r>
      <w:r w:rsidR="00825C1E" w:rsidRPr="00D55469">
        <w:rPr>
          <w:rFonts w:ascii="Arial" w:hAnsi="Arial" w:cs="Arial"/>
          <w:b/>
          <w:lang w:val="en"/>
        </w:rPr>
        <w:t>similar to other capital assets</w:t>
      </w:r>
      <w:r w:rsidR="00830165" w:rsidRPr="00D55469">
        <w:rPr>
          <w:rFonts w:ascii="Arial" w:hAnsi="Arial" w:cs="Arial"/>
          <w:b/>
          <w:lang w:val="en"/>
        </w:rPr>
        <w:t xml:space="preserve">. </w:t>
      </w:r>
    </w:p>
    <w:p w14:paraId="24F6D939" w14:textId="1321FCAB" w:rsidR="00830165" w:rsidRPr="00D55469" w:rsidRDefault="00830165" w:rsidP="00B92393">
      <w:pPr>
        <w:rPr>
          <w:rFonts w:ascii="Arial" w:hAnsi="Arial" w:cs="Arial"/>
          <w:b/>
          <w:i/>
          <w:lang w:val="en"/>
        </w:rPr>
      </w:pPr>
      <w:r w:rsidRPr="00D55469">
        <w:rPr>
          <w:rFonts w:ascii="Arial" w:hAnsi="Arial" w:cs="Arial"/>
          <w:b/>
          <w:i/>
          <w:lang w:val="en"/>
        </w:rPr>
        <w:t>Methods</w:t>
      </w:r>
      <w:r w:rsidR="0040753E" w:rsidRPr="00D55469">
        <w:rPr>
          <w:rFonts w:ascii="Arial" w:hAnsi="Arial" w:cs="Arial"/>
          <w:b/>
          <w:i/>
          <w:lang w:val="en"/>
        </w:rPr>
        <w:t xml:space="preserve">. </w:t>
      </w:r>
      <w:r w:rsidRPr="00D55469">
        <w:rPr>
          <w:rFonts w:ascii="Arial" w:hAnsi="Arial" w:cs="Arial"/>
          <w:b/>
          <w:lang w:val="en"/>
        </w:rPr>
        <w:t>The study re-used data from prior survey and case study research, supplemented by evidence from the literature.</w:t>
      </w:r>
      <w:r w:rsidR="0012037E" w:rsidRPr="00D55469">
        <w:rPr>
          <w:rFonts w:ascii="Arial" w:hAnsi="Arial" w:cs="Arial"/>
          <w:b/>
          <w:lang w:val="en"/>
        </w:rPr>
        <w:t xml:space="preserve"> </w:t>
      </w:r>
      <w:r w:rsidRPr="00D55469">
        <w:rPr>
          <w:rFonts w:ascii="Arial" w:hAnsi="Arial" w:cs="Arial"/>
          <w:b/>
          <w:lang w:val="en"/>
        </w:rPr>
        <w:t xml:space="preserve">The Organization for Economic Co-operation and Development’s </w:t>
      </w:r>
      <w:r w:rsidR="0012037E" w:rsidRPr="00D55469">
        <w:rPr>
          <w:rFonts w:ascii="Arial" w:hAnsi="Arial" w:cs="Arial"/>
          <w:b/>
          <w:lang w:val="en"/>
        </w:rPr>
        <w:t xml:space="preserve"> </w:t>
      </w:r>
      <w:r w:rsidRPr="00D55469">
        <w:rPr>
          <w:rFonts w:ascii="Arial" w:hAnsi="Arial" w:cs="Arial"/>
          <w:b/>
          <w:lang w:val="en"/>
        </w:rPr>
        <w:t>categorization of intellectual assets was chosen as an analytical framework</w:t>
      </w:r>
      <w:r w:rsidR="006649F2">
        <w:rPr>
          <w:rFonts w:ascii="Arial" w:hAnsi="Arial" w:cs="Arial"/>
          <w:b/>
          <w:lang w:val="en"/>
        </w:rPr>
        <w:t>.</w:t>
      </w:r>
      <w:r w:rsidRPr="00D55469">
        <w:rPr>
          <w:rFonts w:ascii="Arial" w:hAnsi="Arial" w:cs="Arial"/>
          <w:b/>
          <w:lang w:val="en"/>
        </w:rPr>
        <w:t xml:space="preserve">  </w:t>
      </w:r>
    </w:p>
    <w:p w14:paraId="2CF816A2" w14:textId="4A6D0CB1" w:rsidR="00830165" w:rsidRPr="00D55469" w:rsidRDefault="00830165" w:rsidP="00B92393">
      <w:pPr>
        <w:rPr>
          <w:rFonts w:ascii="Arial" w:hAnsi="Arial" w:cs="Arial"/>
          <w:b/>
          <w:i/>
          <w:lang w:val="en"/>
        </w:rPr>
      </w:pPr>
      <w:r w:rsidRPr="00D55469">
        <w:rPr>
          <w:rFonts w:ascii="Arial" w:hAnsi="Arial" w:cs="Arial"/>
          <w:b/>
          <w:i/>
          <w:lang w:val="en"/>
        </w:rPr>
        <w:t>Results</w:t>
      </w:r>
      <w:r w:rsidR="0040753E" w:rsidRPr="00D55469">
        <w:rPr>
          <w:rFonts w:ascii="Arial" w:hAnsi="Arial" w:cs="Arial"/>
          <w:b/>
          <w:i/>
          <w:lang w:val="en"/>
        </w:rPr>
        <w:t xml:space="preserve">. </w:t>
      </w:r>
      <w:r w:rsidRPr="00D55469">
        <w:rPr>
          <w:rFonts w:ascii="Arial" w:hAnsi="Arial" w:cs="Arial"/>
          <w:b/>
          <w:lang w:val="en"/>
        </w:rPr>
        <w:t>Academic libraries have developed significant human, structural, and relational assets that are enabling them to respo</w:t>
      </w:r>
      <w:r w:rsidR="002554ED">
        <w:rPr>
          <w:rFonts w:ascii="Arial" w:hAnsi="Arial" w:cs="Arial"/>
          <w:b/>
          <w:lang w:val="en"/>
        </w:rPr>
        <w:t>nd to environmental challenges</w:t>
      </w:r>
      <w:r w:rsidRPr="00D55469">
        <w:rPr>
          <w:rFonts w:ascii="Arial" w:hAnsi="Arial" w:cs="Arial"/>
          <w:b/>
          <w:lang w:val="en"/>
        </w:rPr>
        <w:t>.</w:t>
      </w:r>
    </w:p>
    <w:p w14:paraId="4488FDCC" w14:textId="4EF0263A" w:rsidR="00830165" w:rsidRDefault="00830165" w:rsidP="00B8161C">
      <w:pPr>
        <w:spacing w:after="0"/>
        <w:rPr>
          <w:rFonts w:ascii="Arial" w:hAnsi="Arial" w:cs="Arial"/>
          <w:b/>
          <w:lang w:val="en"/>
        </w:rPr>
      </w:pPr>
      <w:r w:rsidRPr="00D55469">
        <w:rPr>
          <w:rFonts w:ascii="Arial" w:hAnsi="Arial" w:cs="Arial"/>
          <w:b/>
          <w:i/>
          <w:lang w:val="en"/>
        </w:rPr>
        <w:t>Conclusions</w:t>
      </w:r>
      <w:r w:rsidR="00B92393" w:rsidRPr="00D55469">
        <w:rPr>
          <w:rFonts w:ascii="Arial" w:hAnsi="Arial" w:cs="Arial"/>
          <w:b/>
          <w:i/>
          <w:lang w:val="en"/>
        </w:rPr>
        <w:t xml:space="preserve">. </w:t>
      </w:r>
      <w:r w:rsidRPr="00D55469">
        <w:rPr>
          <w:rFonts w:ascii="Arial" w:hAnsi="Arial" w:cs="Arial"/>
          <w:b/>
          <w:lang w:val="en"/>
        </w:rPr>
        <w:t>An intellectual capital lens can enable libraries to recognize their intangible assets as distinctive competencies with current relevance and enduring value. Libraries need to extend  their assessment systems to evaluate their human, structural, and relational assets</w:t>
      </w:r>
      <w:r w:rsidR="006B3545">
        <w:rPr>
          <w:rFonts w:ascii="Arial" w:hAnsi="Arial" w:cs="Arial"/>
          <w:b/>
          <w:lang w:val="en"/>
        </w:rPr>
        <w:t>.</w:t>
      </w:r>
    </w:p>
    <w:p w14:paraId="567D56BF" w14:textId="77777777" w:rsidR="00795D56" w:rsidRDefault="00795D56" w:rsidP="0000596E">
      <w:pPr>
        <w:spacing w:before="40" w:after="0"/>
        <w:ind w:firstLine="0"/>
        <w:rPr>
          <w:rFonts w:ascii="Arial" w:hAnsi="Arial" w:cs="Arial"/>
          <w:b/>
          <w:lang w:val="en"/>
        </w:rPr>
      </w:pPr>
    </w:p>
    <w:p w14:paraId="2175BCD9" w14:textId="6DF761AC" w:rsidR="000132FC" w:rsidRDefault="00921BB9" w:rsidP="0000596E">
      <w:pPr>
        <w:spacing w:after="0"/>
        <w:ind w:firstLine="0"/>
        <w:rPr>
          <w:rFonts w:ascii="Arial" w:hAnsi="Arial" w:cs="Arial"/>
          <w:b/>
          <w:lang w:val="en"/>
        </w:rPr>
      </w:pPr>
      <w:r>
        <w:rPr>
          <w:rFonts w:ascii="Arial" w:hAnsi="Arial" w:cs="Arial"/>
          <w:b/>
          <w:lang w:val="en"/>
        </w:rPr>
        <w:t xml:space="preserve">Keywords: intangible assets; </w:t>
      </w:r>
      <w:r w:rsidR="00795D56">
        <w:rPr>
          <w:rFonts w:ascii="Arial" w:hAnsi="Arial" w:cs="Arial"/>
          <w:b/>
          <w:lang w:val="en"/>
        </w:rPr>
        <w:t>intellectual capital</w:t>
      </w:r>
      <w:r w:rsidR="00CC7F5A">
        <w:rPr>
          <w:rFonts w:ascii="Arial" w:hAnsi="Arial" w:cs="Arial"/>
          <w:b/>
          <w:lang w:val="en"/>
        </w:rPr>
        <w:t>;</w:t>
      </w:r>
      <w:r w:rsidR="00795D56">
        <w:rPr>
          <w:rFonts w:ascii="Arial" w:hAnsi="Arial" w:cs="Arial"/>
          <w:b/>
          <w:lang w:val="en"/>
        </w:rPr>
        <w:t xml:space="preserve"> library assessment; performance measurement</w:t>
      </w:r>
      <w:r w:rsidR="00162189">
        <w:rPr>
          <w:rFonts w:ascii="Arial" w:hAnsi="Arial" w:cs="Arial"/>
          <w:b/>
          <w:lang w:val="en"/>
        </w:rPr>
        <w:t>.</w:t>
      </w:r>
    </w:p>
    <w:p w14:paraId="3CDA940B" w14:textId="77777777" w:rsidR="000D66FF" w:rsidRPr="008552A8" w:rsidRDefault="000D66FF" w:rsidP="006A12B2">
      <w:pPr>
        <w:pStyle w:val="Heading1"/>
        <w:spacing w:after="80"/>
        <w:rPr>
          <w:rFonts w:ascii="Arial" w:hAnsi="Arial" w:cs="Arial"/>
        </w:rPr>
      </w:pPr>
      <w:r w:rsidRPr="008552A8">
        <w:rPr>
          <w:rFonts w:ascii="Arial" w:hAnsi="Arial" w:cs="Arial"/>
        </w:rPr>
        <w:lastRenderedPageBreak/>
        <w:t>Introduction</w:t>
      </w:r>
      <w:r>
        <w:rPr>
          <w:rFonts w:ascii="Arial" w:hAnsi="Arial" w:cs="Arial"/>
        </w:rPr>
        <w:t xml:space="preserve"> </w:t>
      </w:r>
    </w:p>
    <w:p w14:paraId="28C89EF1" w14:textId="760DA98C" w:rsidR="000F0B20" w:rsidRDefault="000D66FF" w:rsidP="003D0147">
      <w:r w:rsidRPr="00004FBB">
        <w:t xml:space="preserve">  </w:t>
      </w:r>
      <w:r w:rsidR="0061532B" w:rsidRPr="000C0148">
        <w:t xml:space="preserve">Library resources and services are continually evolving with social, technological, economic, and political developments in the information environment. Technology is a key driver of change for the profession that has transformed every area of library practice, from collections and cataloging to space and services (Dempsey, 2012; Latimer, 2011; Lewis, 2013; Mathews, 2014). Commentators stress the need for librarians to think and act differently, develop new skills, design new environments, deliver new services, and adopt new models. Mathews (2014, p. 22) concludes that librarians need to explore, develop, and implement “new models, new skills and attitudes, new metrics, new ways of looking at old problems, and new approaches for new problems.” He asserts that that the profession is arguably now in the </w:t>
      </w:r>
      <w:r w:rsidR="0061532B" w:rsidRPr="000C0148">
        <w:rPr>
          <w:i/>
        </w:rPr>
        <w:t xml:space="preserve">relationship business; </w:t>
      </w:r>
      <w:r w:rsidR="0061532B" w:rsidRPr="000C0148">
        <w:t xml:space="preserve">Town and </w:t>
      </w:r>
      <w:proofErr w:type="spellStart"/>
      <w:r w:rsidR="0061532B" w:rsidRPr="000C0148">
        <w:t>Kyrillidou</w:t>
      </w:r>
      <w:proofErr w:type="spellEnd"/>
      <w:r w:rsidR="0061532B" w:rsidRPr="000C0148">
        <w:t xml:space="preserve"> (2013, p. 12) similarly observe that “Libraries are fundamentally relationship organizations.”</w:t>
      </w:r>
    </w:p>
    <w:p w14:paraId="338653BA" w14:textId="71859EBB" w:rsidR="00CE0165" w:rsidRPr="00CE0165" w:rsidRDefault="003C288B" w:rsidP="009724AC">
      <w:pPr>
        <w:spacing w:before="40" w:after="0"/>
        <w:ind w:firstLine="0"/>
        <w:rPr>
          <w:i/>
          <w:sz w:val="22"/>
          <w:szCs w:val="22"/>
        </w:rPr>
      </w:pPr>
      <w:r>
        <w:rPr>
          <w:i/>
          <w:sz w:val="22"/>
          <w:szCs w:val="22"/>
        </w:rPr>
        <w:t>Library Service D</w:t>
      </w:r>
      <w:r w:rsidR="00CE0165">
        <w:rPr>
          <w:i/>
          <w:sz w:val="22"/>
          <w:szCs w:val="22"/>
        </w:rPr>
        <w:t>evelopments</w:t>
      </w:r>
    </w:p>
    <w:p w14:paraId="4346C7AF" w14:textId="7C3217A9" w:rsidR="000F0B20" w:rsidRPr="00CE0165" w:rsidRDefault="000F0B20" w:rsidP="003D0147">
      <w:r w:rsidRPr="00CE0165">
        <w:t>The work of library and information professionals is becoming more specialized in the complex digital environment as they aim to integrate resources and services into the processes, workflows, and “</w:t>
      </w:r>
      <w:proofErr w:type="spellStart"/>
      <w:r w:rsidRPr="00CE0165">
        <w:t>lifeflows</w:t>
      </w:r>
      <w:proofErr w:type="spellEnd"/>
      <w:r w:rsidRPr="00CE0165">
        <w:t>” of users (</w:t>
      </w:r>
      <w:proofErr w:type="spellStart"/>
      <w:r w:rsidRPr="00CE0165">
        <w:t>Brophy</w:t>
      </w:r>
      <w:proofErr w:type="spellEnd"/>
      <w:r w:rsidRPr="00CE0165">
        <w:t xml:space="preserve">, 2008; Cox &amp; Corrall, 2013; Vaughan et al., 2013; Weaver, 2013). Existing roles are evolving and new hybrid, </w:t>
      </w:r>
      <w:r w:rsidRPr="00CE0165">
        <w:rPr>
          <w:i/>
        </w:rPr>
        <w:t xml:space="preserve">blended, </w:t>
      </w:r>
      <w:r w:rsidRPr="00CE0165">
        <w:t xml:space="preserve">and </w:t>
      </w:r>
      <w:r w:rsidRPr="00CE0165">
        <w:rPr>
          <w:i/>
        </w:rPr>
        <w:t xml:space="preserve">embedded </w:t>
      </w:r>
      <w:r w:rsidRPr="00CE0165">
        <w:t>roles are emerging on the boundaries of established positions and professions (Carlson &amp; Neale, 2011; Sinclair, 2009), requiring expanded skill sets that overlap the core competencies of other domains, notably research, education, and technology (</w:t>
      </w:r>
      <w:r w:rsidR="008460D3">
        <w:t xml:space="preserve">Cox &amp; Corrall, 2013; </w:t>
      </w:r>
      <w:proofErr w:type="spellStart"/>
      <w:r w:rsidRPr="00CE0165">
        <w:t>Iivonen</w:t>
      </w:r>
      <w:proofErr w:type="spellEnd"/>
      <w:r w:rsidRPr="00CE0165">
        <w:t xml:space="preserve"> &amp; </w:t>
      </w:r>
      <w:proofErr w:type="spellStart"/>
      <w:r w:rsidRPr="00CE0165">
        <w:t>Huotari</w:t>
      </w:r>
      <w:proofErr w:type="spellEnd"/>
      <w:r w:rsidRPr="00CE0165">
        <w:t>, 2007). Information literacy education has been a key focus of library service development that is now been joined by research data management, as an example of boundary-spanning activity (Carlson &amp; Neale, 2011; Cox &amp; Corrall, 2013; Vaughan et al., 2013; Weaver, 2013).</w:t>
      </w:r>
    </w:p>
    <w:p w14:paraId="50BAC465" w14:textId="1B8B1AB8" w:rsidR="0012233F" w:rsidRPr="00F96898" w:rsidRDefault="003C288B" w:rsidP="009724AC">
      <w:pPr>
        <w:spacing w:before="40" w:after="0"/>
        <w:ind w:firstLine="0"/>
        <w:rPr>
          <w:i/>
          <w:sz w:val="22"/>
          <w:szCs w:val="22"/>
        </w:rPr>
      </w:pPr>
      <w:r>
        <w:rPr>
          <w:i/>
          <w:sz w:val="22"/>
          <w:szCs w:val="22"/>
        </w:rPr>
        <w:t>Library Assessment T</w:t>
      </w:r>
      <w:r w:rsidR="0012233F" w:rsidRPr="00F96898">
        <w:rPr>
          <w:i/>
          <w:sz w:val="22"/>
          <w:szCs w:val="22"/>
        </w:rPr>
        <w:t>rends</w:t>
      </w:r>
    </w:p>
    <w:p w14:paraId="280D42BD" w14:textId="4E36E96F" w:rsidR="0012233F" w:rsidRPr="00F96898" w:rsidRDefault="0012233F" w:rsidP="003D0147">
      <w:r w:rsidRPr="00F96898">
        <w:t xml:space="preserve">Library assessment has evolved from an operational and service provider perspective on resource inputs, process throughputs, and product or service outputs as performance metrics, to more strategic approaches aimed at identifying specific and general outcomes, and the higher-order effects or impacts of libraries, from the perspective of service users, in relation to the missions and goals of their parent organizations. The focus on outcomes and impacts is a significant trend, requiring </w:t>
      </w:r>
      <w:r w:rsidRPr="00F96898">
        <w:lastRenderedPageBreak/>
        <w:t xml:space="preserve">fuller understanding of the context of library and information use (Town, 2011; Matthews, 2013). </w:t>
      </w:r>
      <w:r w:rsidR="009F5D6F">
        <w:t xml:space="preserve">One </w:t>
      </w:r>
      <w:r w:rsidR="009F5D6F" w:rsidRPr="00CE0165">
        <w:t>indicator of strategic engagement with assessment is the growth in specialist “assessment librarian” positions (</w:t>
      </w:r>
      <w:proofErr w:type="spellStart"/>
      <w:r w:rsidR="009F5D6F" w:rsidRPr="00CE0165">
        <w:t>Oakleaf</w:t>
      </w:r>
      <w:proofErr w:type="spellEnd"/>
      <w:r w:rsidR="009F5D6F" w:rsidRPr="00CE0165">
        <w:t xml:space="preserve">, 2013). </w:t>
      </w:r>
    </w:p>
    <w:p w14:paraId="1FC623A7" w14:textId="2E8C4DAD" w:rsidR="0012233F" w:rsidRPr="00F96898" w:rsidRDefault="0012233F" w:rsidP="003D0147">
      <w:r w:rsidRPr="00F96898">
        <w:t>Libraries have adopted and adapted frameworks from the business arena, such as the PZB SERVQUAL gap model of service quality assessment (</w:t>
      </w:r>
      <w:proofErr w:type="spellStart"/>
      <w:r w:rsidRPr="00F96898">
        <w:t>Parasuraman</w:t>
      </w:r>
      <w:proofErr w:type="spellEnd"/>
      <w:r w:rsidRPr="00F96898">
        <w:t xml:space="preserve">, </w:t>
      </w:r>
      <w:proofErr w:type="spellStart"/>
      <w:r w:rsidRPr="00F96898">
        <w:t>Zeithaml</w:t>
      </w:r>
      <w:proofErr w:type="spellEnd"/>
      <w:r w:rsidRPr="00F96898">
        <w:t xml:space="preserve"> &amp; Berry, 1985), and</w:t>
      </w:r>
      <w:r w:rsidR="00DC2445">
        <w:t xml:space="preserve"> the library version, </w:t>
      </w:r>
      <w:proofErr w:type="spellStart"/>
      <w:r w:rsidR="00DC2445">
        <w:t>LibQUAL</w:t>
      </w:r>
      <w:proofErr w:type="spellEnd"/>
      <w:r w:rsidR="00DC2445">
        <w:t xml:space="preserve">+™, </w:t>
      </w:r>
      <w:r w:rsidRPr="00F96898">
        <w:t>which was developed in the US, but has been taken up internationally, in Europe and farther afield (</w:t>
      </w:r>
      <w:proofErr w:type="spellStart"/>
      <w:r w:rsidRPr="00F96898">
        <w:t>Kachoka</w:t>
      </w:r>
      <w:proofErr w:type="spellEnd"/>
      <w:r w:rsidRPr="00F96898">
        <w:t xml:space="preserve"> &amp; Hoskins, 2009; McCaffrey, 2013; </w:t>
      </w:r>
      <w:proofErr w:type="spellStart"/>
      <w:r w:rsidRPr="00F96898">
        <w:t>Voorbij</w:t>
      </w:r>
      <w:proofErr w:type="spellEnd"/>
      <w:r w:rsidRPr="00F96898">
        <w:t xml:space="preserve">, 2012). Libraries in several countries have used Kaplan and Norton’s (1992; 1996) Balanced Scorecard, which combines traditional financial and internal process measures with customer and innovation/learning/growth indicators to promote a balanced view of organizational performance (Chew &amp; </w:t>
      </w:r>
      <w:proofErr w:type="spellStart"/>
      <w:r w:rsidRPr="00F96898">
        <w:t>Aspinall</w:t>
      </w:r>
      <w:proofErr w:type="spellEnd"/>
      <w:r w:rsidRPr="00F96898">
        <w:t xml:space="preserve">, 2011; </w:t>
      </w:r>
      <w:proofErr w:type="spellStart"/>
      <w:r w:rsidRPr="00F96898">
        <w:t>Krarup</w:t>
      </w:r>
      <w:proofErr w:type="spellEnd"/>
      <w:r w:rsidRPr="00F96898">
        <w:t xml:space="preserve">, 2004; Mackenzie, </w:t>
      </w:r>
      <w:r w:rsidR="00A911F1">
        <w:t xml:space="preserve">2012; </w:t>
      </w:r>
      <w:proofErr w:type="spellStart"/>
      <w:r w:rsidRPr="00F96898">
        <w:t>Melo</w:t>
      </w:r>
      <w:proofErr w:type="spellEnd"/>
      <w:r w:rsidRPr="00F96898">
        <w:t xml:space="preserve">, </w:t>
      </w:r>
      <w:proofErr w:type="spellStart"/>
      <w:r w:rsidRPr="00F96898">
        <w:t>Pires</w:t>
      </w:r>
      <w:proofErr w:type="spellEnd"/>
      <w:r w:rsidRPr="00F96898">
        <w:t xml:space="preserve"> &amp; </w:t>
      </w:r>
      <w:proofErr w:type="spellStart"/>
      <w:r w:rsidRPr="00F96898">
        <w:t>Taveira</w:t>
      </w:r>
      <w:proofErr w:type="spellEnd"/>
      <w:r w:rsidRPr="00F96898">
        <w:t xml:space="preserve">, </w:t>
      </w:r>
      <w:r w:rsidR="00DC69BF">
        <w:t xml:space="preserve">2008; </w:t>
      </w:r>
      <w:proofErr w:type="spellStart"/>
      <w:r w:rsidR="00DC69BF">
        <w:t>Pienaar</w:t>
      </w:r>
      <w:proofErr w:type="spellEnd"/>
      <w:r w:rsidR="00DC69BF">
        <w:t xml:space="preserve"> &amp; </w:t>
      </w:r>
      <w:proofErr w:type="spellStart"/>
      <w:r w:rsidR="00DC69BF">
        <w:t>Penzhorn</w:t>
      </w:r>
      <w:proofErr w:type="spellEnd"/>
      <w:r w:rsidR="00DC69BF">
        <w:t>, 2000</w:t>
      </w:r>
      <w:r w:rsidRPr="00F96898">
        <w:t xml:space="preserve">). </w:t>
      </w:r>
    </w:p>
    <w:p w14:paraId="0F529317" w14:textId="5E3EAC23" w:rsidR="0012233F" w:rsidRPr="00F96898" w:rsidRDefault="0012233F" w:rsidP="003D0147">
      <w:r w:rsidRPr="00F96898">
        <w:t xml:space="preserve">A key feature of the Balanced Scorecard is that it balances internal and external perspectives, </w:t>
      </w:r>
      <w:r w:rsidR="00DC69BF">
        <w:t>and</w:t>
      </w:r>
      <w:r w:rsidRPr="00F96898">
        <w:t xml:space="preserve"> also combines retrospective with prospective views of the organization, supplementing traditional evaluation of past performance with assessment of future potential through the learning and growth component as a measure of capacity for innovation and development. Libraries have also used Kaplan and Norton’s (2000; 2001a) more comprehensive strategy map tool, which enables managers to articulate cause-and-effect relationships between goals associated with the four perspectives of the balanced scorecard. Examples have been reported </w:t>
      </w:r>
      <w:r w:rsidR="005E7F06">
        <w:t xml:space="preserve">worldwide </w:t>
      </w:r>
      <w:r w:rsidRPr="00F96898">
        <w:t>(</w:t>
      </w:r>
      <w:proofErr w:type="spellStart"/>
      <w:r w:rsidRPr="00F96898">
        <w:t>Cribb</w:t>
      </w:r>
      <w:proofErr w:type="spellEnd"/>
      <w:r w:rsidRPr="00F96898">
        <w:t xml:space="preserve">, 2005; </w:t>
      </w:r>
      <w:proofErr w:type="spellStart"/>
      <w:r w:rsidRPr="00F96898">
        <w:t>Düren</w:t>
      </w:r>
      <w:proofErr w:type="spellEnd"/>
      <w:r w:rsidRPr="00F96898">
        <w:t xml:space="preserve">, 2010; </w:t>
      </w:r>
      <w:proofErr w:type="spellStart"/>
      <w:r w:rsidRPr="00F96898">
        <w:t>Hammes</w:t>
      </w:r>
      <w:proofErr w:type="spellEnd"/>
      <w:r w:rsidRPr="00F96898">
        <w:t xml:space="preserve">, 2010; </w:t>
      </w:r>
      <w:proofErr w:type="spellStart"/>
      <w:r w:rsidRPr="00F96898">
        <w:t>Kettunen</w:t>
      </w:r>
      <w:proofErr w:type="spellEnd"/>
      <w:r w:rsidRPr="00F96898">
        <w:t xml:space="preserve">, 2007; Kim, 2010; Leong, 2005; Lewis, Hiller, </w:t>
      </w:r>
      <w:proofErr w:type="spellStart"/>
      <w:r w:rsidRPr="00F96898">
        <w:t>Mengel</w:t>
      </w:r>
      <w:proofErr w:type="spellEnd"/>
      <w:r w:rsidRPr="00F96898">
        <w:t xml:space="preserve"> &amp; </w:t>
      </w:r>
      <w:proofErr w:type="spellStart"/>
      <w:r w:rsidRPr="00F96898">
        <w:t>Tolson</w:t>
      </w:r>
      <w:proofErr w:type="spellEnd"/>
      <w:r w:rsidRPr="00F96898">
        <w:t xml:space="preserve">, 2013; Taylor, 2012). </w:t>
      </w:r>
    </w:p>
    <w:p w14:paraId="6DE18F87" w14:textId="21724561" w:rsidR="0012233F" w:rsidRPr="00F96898" w:rsidRDefault="0012233F" w:rsidP="003D0147">
      <w:r w:rsidRPr="00F96898">
        <w:t xml:space="preserve">In addition to </w:t>
      </w:r>
      <w:r w:rsidR="007F0D00">
        <w:t xml:space="preserve">these </w:t>
      </w:r>
      <w:r w:rsidRPr="00F96898">
        <w:t xml:space="preserve">holistic frameworks, libraries have been exploring more specific methods of evaluating their contributions to their communities. </w:t>
      </w:r>
      <w:r w:rsidR="00B56DF7">
        <w:t>R</w:t>
      </w:r>
      <w:r w:rsidRPr="00F96898">
        <w:t>eturn on investment (ROI) studies, using contingent valuation method and other quantitative techniques have become a notable trend in academic, public and national libraries around the world (</w:t>
      </w:r>
      <w:proofErr w:type="spellStart"/>
      <w:r w:rsidRPr="00F96898">
        <w:t>Grzeschik</w:t>
      </w:r>
      <w:proofErr w:type="spellEnd"/>
      <w:r w:rsidRPr="00F96898">
        <w:t xml:space="preserve">, 2010; </w:t>
      </w:r>
      <w:r w:rsidRPr="00F96898">
        <w:rPr>
          <w:rFonts w:eastAsia="Cambria"/>
        </w:rPr>
        <w:t xml:space="preserve">Hider, 2008; </w:t>
      </w:r>
      <w:proofErr w:type="spellStart"/>
      <w:r w:rsidRPr="00F96898">
        <w:rPr>
          <w:rFonts w:eastAsia="Cambria"/>
        </w:rPr>
        <w:t>Ko</w:t>
      </w:r>
      <w:proofErr w:type="spellEnd"/>
      <w:r w:rsidRPr="00F96898">
        <w:rPr>
          <w:rFonts w:eastAsia="Cambria"/>
        </w:rPr>
        <w:t xml:space="preserve">, Shim, </w:t>
      </w:r>
      <w:proofErr w:type="spellStart"/>
      <w:r w:rsidRPr="00F96898">
        <w:rPr>
          <w:rFonts w:eastAsia="Cambria"/>
        </w:rPr>
        <w:t>Pyo</w:t>
      </w:r>
      <w:proofErr w:type="spellEnd"/>
      <w:r w:rsidRPr="00F96898">
        <w:rPr>
          <w:rFonts w:eastAsia="Cambria"/>
        </w:rPr>
        <w:t xml:space="preserve"> &amp; Chang, 2012; </w:t>
      </w:r>
      <w:proofErr w:type="spellStart"/>
      <w:r w:rsidRPr="00F96898">
        <w:rPr>
          <w:rFonts w:eastAsia="Cambria"/>
        </w:rPr>
        <w:t>Kwak</w:t>
      </w:r>
      <w:proofErr w:type="spellEnd"/>
      <w:r w:rsidRPr="00F96898">
        <w:rPr>
          <w:rFonts w:eastAsia="Cambria"/>
        </w:rPr>
        <w:t xml:space="preserve"> &amp; </w:t>
      </w:r>
      <w:proofErr w:type="spellStart"/>
      <w:r w:rsidRPr="00F96898">
        <w:rPr>
          <w:rFonts w:eastAsia="Cambria"/>
        </w:rPr>
        <w:t>Yoo</w:t>
      </w:r>
      <w:proofErr w:type="spellEnd"/>
      <w:r w:rsidRPr="00F96898">
        <w:rPr>
          <w:rFonts w:eastAsia="Cambria"/>
        </w:rPr>
        <w:t xml:space="preserve">, 2012; McIntosh, 2013; </w:t>
      </w:r>
      <w:proofErr w:type="spellStart"/>
      <w:r w:rsidRPr="00F96898">
        <w:t>Tenopir</w:t>
      </w:r>
      <w:proofErr w:type="spellEnd"/>
      <w:r w:rsidRPr="00F96898">
        <w:t xml:space="preserve">, King, Mays, Wu &amp; Baer, 2010). At the other end of the methodological spectrum, there has also been a surge of interest in qualitative methods, including narrative techniques and ethnographical/ethnological studies. </w:t>
      </w:r>
      <w:proofErr w:type="spellStart"/>
      <w:r w:rsidRPr="00F96898">
        <w:t>Usherwood</w:t>
      </w:r>
      <w:proofErr w:type="spellEnd"/>
      <w:r w:rsidRPr="00F96898">
        <w:t xml:space="preserve"> (2002, p. 120) argues that “qualitative assessments of outcomes are often a more meaningful way of demonstrating, the value and impact of a service and its achievements”, </w:t>
      </w:r>
      <w:r w:rsidR="007B4CB6">
        <w:t>showing</w:t>
      </w:r>
      <w:r w:rsidRPr="00F96898">
        <w:t xml:space="preserve"> how quality audits, social auditing and social accounting techniques can be used to examine the success or failure of services, and identify qualities that are </w:t>
      </w:r>
      <w:r w:rsidRPr="00F96898">
        <w:rPr>
          <w:i/>
        </w:rPr>
        <w:t>intangible</w:t>
      </w:r>
      <w:r w:rsidRPr="00F96898">
        <w:t xml:space="preserve"> or indirect. </w:t>
      </w:r>
    </w:p>
    <w:p w14:paraId="014C1466" w14:textId="28A60BEB" w:rsidR="0012233F" w:rsidRPr="00F96898" w:rsidRDefault="0012233F" w:rsidP="003D0147">
      <w:proofErr w:type="spellStart"/>
      <w:r w:rsidRPr="00F96898">
        <w:t>Brophy</w:t>
      </w:r>
      <w:proofErr w:type="spellEnd"/>
      <w:r w:rsidRPr="00F96898">
        <w:t xml:space="preserve"> (</w:t>
      </w:r>
      <w:r w:rsidR="00DB19D1">
        <w:t>2007; 2008</w:t>
      </w:r>
      <w:r w:rsidRPr="00F96898">
        <w:t xml:space="preserve">) argues that narrative-based methods are particularly appropriate for assessing the contribution of services embedded in user communities, and communicating service outcomes and impacts in a richer, more meaningful way than quantitative data can do alone, providing needed context and interpretation. </w:t>
      </w:r>
      <w:proofErr w:type="spellStart"/>
      <w:r w:rsidRPr="00F96898">
        <w:t>Khoo</w:t>
      </w:r>
      <w:proofErr w:type="spellEnd"/>
      <w:r w:rsidRPr="00F96898">
        <w:t xml:space="preserve">, Rozaklis, and Hall (2012) confirm substantial growth in library use of ethnography, with more than 40 studies published in the period 2006-2011. An interesting related trend is the appointment of “library anthropologists” to conduct such studies (Carlson, 2007; Wu &amp; </w:t>
      </w:r>
      <w:proofErr w:type="spellStart"/>
      <w:r w:rsidRPr="00F96898">
        <w:t>Lanclos</w:t>
      </w:r>
      <w:proofErr w:type="spellEnd"/>
      <w:r w:rsidRPr="00F96898">
        <w:t>, 2011).</w:t>
      </w:r>
    </w:p>
    <w:p w14:paraId="5EB74553" w14:textId="7C8EAAFA" w:rsidR="0012233F" w:rsidRDefault="0012233F" w:rsidP="003D0147">
      <w:pPr>
        <w:widowControl w:val="0"/>
        <w:autoSpaceDE w:val="0"/>
        <w:autoSpaceDN w:val="0"/>
        <w:adjustRightInd w:val="0"/>
      </w:pPr>
      <w:r w:rsidRPr="00F96898">
        <w:t xml:space="preserve">One specific theme in the academic and practitioner discussion of evaluation methodologies is a resurgence of interest in examining the </w:t>
      </w:r>
      <w:r w:rsidRPr="00F96898">
        <w:rPr>
          <w:i/>
        </w:rPr>
        <w:t>intangible assets</w:t>
      </w:r>
      <w:r w:rsidRPr="00F96898">
        <w:t xml:space="preserve"> (IAs) of library and information services (LIS), especially to prove the worth of library and information </w:t>
      </w:r>
      <w:r w:rsidR="0063419A">
        <w:t>workers</w:t>
      </w:r>
      <w:r w:rsidRPr="00F96898">
        <w:t xml:space="preserve"> </w:t>
      </w:r>
      <w:r w:rsidR="00A51EC6">
        <w:t>(</w:t>
      </w:r>
      <w:r w:rsidRPr="00F96898">
        <w:t xml:space="preserve">an area of investment that is particularly vulnerable as a result of the global economic downturn). Several commentators propose that assessment of library value in the knowledge economy should include consideration of intangible (knowledge-based) assets to give a fuller picture of value for stakeholders (Corrall &amp; </w:t>
      </w:r>
      <w:proofErr w:type="spellStart"/>
      <w:r w:rsidRPr="00F96898">
        <w:t>Sriborisutsakul</w:t>
      </w:r>
      <w:proofErr w:type="spellEnd"/>
      <w:r w:rsidRPr="00F96898">
        <w:t xml:space="preserve">; 2010; </w:t>
      </w:r>
      <w:proofErr w:type="spellStart"/>
      <w:r w:rsidRPr="00F96898">
        <w:t>Kostagiolas</w:t>
      </w:r>
      <w:proofErr w:type="spellEnd"/>
      <w:r w:rsidRPr="00F96898">
        <w:t xml:space="preserve"> &amp; </w:t>
      </w:r>
      <w:proofErr w:type="spellStart"/>
      <w:r w:rsidRPr="00F96898">
        <w:t>Asonitis</w:t>
      </w:r>
      <w:proofErr w:type="spellEnd"/>
      <w:r w:rsidRPr="00F96898">
        <w:t>, 2009; 2011; Town, 2011; Van Devent</w:t>
      </w:r>
      <w:r w:rsidR="003D0147">
        <w:t xml:space="preserve">er &amp; </w:t>
      </w:r>
      <w:proofErr w:type="spellStart"/>
      <w:r w:rsidR="003D0147">
        <w:t>Snyman</w:t>
      </w:r>
      <w:proofErr w:type="spellEnd"/>
      <w:r w:rsidR="003D0147">
        <w:t>, 2004; White; 2007a</w:t>
      </w:r>
      <w:r w:rsidRPr="00F96898">
        <w:t xml:space="preserve">). </w:t>
      </w:r>
      <w:r w:rsidR="00D755B1">
        <w:t xml:space="preserve">Town (2011, p. 123) </w:t>
      </w:r>
      <w:r w:rsidR="00D21F61">
        <w:t>asserts:</w:t>
      </w:r>
    </w:p>
    <w:p w14:paraId="16111AB8" w14:textId="740819A0" w:rsidR="00D21F61" w:rsidRPr="00F96898" w:rsidRDefault="00D21F61" w:rsidP="004A6107">
      <w:pPr>
        <w:widowControl w:val="0"/>
        <w:autoSpaceDE w:val="0"/>
        <w:autoSpaceDN w:val="0"/>
        <w:adjustRightInd w:val="0"/>
        <w:ind w:left="144" w:right="144" w:firstLine="0"/>
      </w:pPr>
      <w:r>
        <w:t>“The assessment of intangible value added will be key to developing a</w:t>
      </w:r>
      <w:r w:rsidR="00D1306E">
        <w:t xml:space="preserve"> compelling story around our overall value proposition. The established threefold approach</w:t>
      </w:r>
      <w:r w:rsidR="00F62BC6">
        <w:t xml:space="preserve"> to the measurement of knowledge/</w:t>
      </w:r>
      <w:r w:rsidR="009F0EC6">
        <w:t xml:space="preserve"> </w:t>
      </w:r>
      <w:r w:rsidR="00F62BC6">
        <w:t>intangible assets is likely to be a good starting point for recognizing areas for developing new measures</w:t>
      </w:r>
      <w:r w:rsidR="00EF3B65">
        <w:t xml:space="preserve"> or, in some cases, revitalizing older ones”.</w:t>
      </w:r>
    </w:p>
    <w:p w14:paraId="03E74264" w14:textId="305A9539" w:rsidR="00163092" w:rsidRDefault="00D01D49" w:rsidP="000858BD">
      <w:pPr>
        <w:widowControl w:val="0"/>
        <w:autoSpaceDE w:val="0"/>
        <w:autoSpaceDN w:val="0"/>
        <w:adjustRightInd w:val="0"/>
        <w:spacing w:after="0"/>
      </w:pPr>
      <w:r>
        <w:t>White (2007a</w:t>
      </w:r>
      <w:r w:rsidR="00A61FC2">
        <w:t>, pp. 81-82</w:t>
      </w:r>
      <w:r>
        <w:t>) identifies</w:t>
      </w:r>
      <w:r w:rsidR="00336242">
        <w:t xml:space="preserve"> </w:t>
      </w:r>
      <w:r w:rsidR="00B16D96">
        <w:t xml:space="preserve">three </w:t>
      </w:r>
      <w:r w:rsidR="00865853">
        <w:t xml:space="preserve">potential </w:t>
      </w:r>
      <w:r w:rsidR="00336242">
        <w:t>benefits</w:t>
      </w:r>
      <w:r w:rsidR="007436A1">
        <w:t xml:space="preserve"> </w:t>
      </w:r>
      <w:r w:rsidR="00865853">
        <w:t>for libraries engaging in</w:t>
      </w:r>
      <w:r w:rsidR="00016C7E">
        <w:t xml:space="preserve"> IA assessment and management:</w:t>
      </w:r>
    </w:p>
    <w:p w14:paraId="421240A4" w14:textId="02023203" w:rsidR="00163092" w:rsidRPr="0084108C" w:rsidRDefault="00163092" w:rsidP="009F0EC6">
      <w:pPr>
        <w:pStyle w:val="ListParagraph"/>
        <w:widowControl w:val="0"/>
        <w:numPr>
          <w:ilvl w:val="0"/>
          <w:numId w:val="14"/>
        </w:numPr>
        <w:autoSpaceDE w:val="0"/>
        <w:autoSpaceDN w:val="0"/>
        <w:adjustRightInd w:val="0"/>
        <w:ind w:left="144" w:hanging="144"/>
        <w:jc w:val="both"/>
        <w:rPr>
          <w:rFonts w:ascii="Times New Roman" w:hAnsi="Times New Roman"/>
          <w:sz w:val="20"/>
          <w:szCs w:val="20"/>
        </w:rPr>
      </w:pPr>
      <w:r w:rsidRPr="0084108C">
        <w:rPr>
          <w:rFonts w:ascii="Times New Roman" w:hAnsi="Times New Roman"/>
          <w:sz w:val="20"/>
          <w:szCs w:val="20"/>
        </w:rPr>
        <w:t xml:space="preserve">increased </w:t>
      </w:r>
      <w:r w:rsidR="00E27F34" w:rsidRPr="0084108C">
        <w:rPr>
          <w:rFonts w:ascii="Times New Roman" w:hAnsi="Times New Roman"/>
          <w:sz w:val="20"/>
          <w:szCs w:val="20"/>
        </w:rPr>
        <w:t xml:space="preserve">scope and </w:t>
      </w:r>
      <w:r w:rsidRPr="0084108C">
        <w:rPr>
          <w:rFonts w:ascii="Times New Roman" w:hAnsi="Times New Roman"/>
          <w:sz w:val="20"/>
          <w:szCs w:val="20"/>
        </w:rPr>
        <w:t>capability to report effectiveness to stakeholders</w:t>
      </w:r>
    </w:p>
    <w:p w14:paraId="2843BDBF" w14:textId="29453D76" w:rsidR="00D01D49" w:rsidRPr="0084108C" w:rsidRDefault="00163092" w:rsidP="009F0EC6">
      <w:pPr>
        <w:pStyle w:val="ListParagraph"/>
        <w:widowControl w:val="0"/>
        <w:numPr>
          <w:ilvl w:val="0"/>
          <w:numId w:val="14"/>
        </w:numPr>
        <w:autoSpaceDE w:val="0"/>
        <w:autoSpaceDN w:val="0"/>
        <w:adjustRightInd w:val="0"/>
        <w:ind w:left="144" w:hanging="144"/>
        <w:jc w:val="both"/>
        <w:rPr>
          <w:rFonts w:ascii="Times New Roman" w:hAnsi="Times New Roman"/>
          <w:sz w:val="20"/>
          <w:szCs w:val="20"/>
        </w:rPr>
      </w:pPr>
      <w:r w:rsidRPr="0084108C">
        <w:rPr>
          <w:rFonts w:ascii="Times New Roman" w:hAnsi="Times New Roman"/>
          <w:sz w:val="20"/>
          <w:szCs w:val="20"/>
        </w:rPr>
        <w:t xml:space="preserve">better alignment </w:t>
      </w:r>
      <w:r w:rsidR="001819BB" w:rsidRPr="0084108C">
        <w:rPr>
          <w:rFonts w:ascii="Times New Roman" w:hAnsi="Times New Roman"/>
          <w:sz w:val="20"/>
          <w:szCs w:val="20"/>
        </w:rPr>
        <w:t>of library resources</w:t>
      </w:r>
      <w:r w:rsidR="00865853" w:rsidRPr="0084108C">
        <w:rPr>
          <w:rFonts w:ascii="Times New Roman" w:hAnsi="Times New Roman"/>
          <w:sz w:val="20"/>
          <w:szCs w:val="20"/>
        </w:rPr>
        <w:t xml:space="preserve"> </w:t>
      </w:r>
      <w:r w:rsidR="001819BB" w:rsidRPr="0084108C">
        <w:rPr>
          <w:rFonts w:ascii="Times New Roman" w:hAnsi="Times New Roman"/>
          <w:sz w:val="20"/>
          <w:szCs w:val="20"/>
        </w:rPr>
        <w:t>and efforts with</w:t>
      </w:r>
      <w:r w:rsidR="00E27F34" w:rsidRPr="0084108C">
        <w:rPr>
          <w:rFonts w:ascii="Times New Roman" w:hAnsi="Times New Roman"/>
          <w:sz w:val="20"/>
          <w:szCs w:val="20"/>
        </w:rPr>
        <w:t xml:space="preserve"> strategic responses required by stakeholders</w:t>
      </w:r>
    </w:p>
    <w:p w14:paraId="396AAB06" w14:textId="3A1C056E" w:rsidR="005202C7" w:rsidRPr="0084108C" w:rsidRDefault="005202C7" w:rsidP="009F0EC6">
      <w:pPr>
        <w:pStyle w:val="ListParagraph"/>
        <w:widowControl w:val="0"/>
        <w:numPr>
          <w:ilvl w:val="0"/>
          <w:numId w:val="14"/>
        </w:numPr>
        <w:autoSpaceDE w:val="0"/>
        <w:autoSpaceDN w:val="0"/>
        <w:adjustRightInd w:val="0"/>
        <w:spacing w:after="80"/>
        <w:ind w:left="144" w:hanging="144"/>
        <w:jc w:val="both"/>
        <w:rPr>
          <w:rFonts w:ascii="Times New Roman" w:hAnsi="Times New Roman"/>
          <w:sz w:val="20"/>
          <w:szCs w:val="20"/>
        </w:rPr>
      </w:pPr>
      <w:r w:rsidRPr="0084108C">
        <w:rPr>
          <w:rFonts w:ascii="Times New Roman" w:hAnsi="Times New Roman"/>
          <w:sz w:val="20"/>
          <w:szCs w:val="20"/>
        </w:rPr>
        <w:t xml:space="preserve">more effective utilization of </w:t>
      </w:r>
      <w:r w:rsidR="00E6490B" w:rsidRPr="0084108C">
        <w:rPr>
          <w:rFonts w:ascii="Times New Roman" w:hAnsi="Times New Roman"/>
          <w:sz w:val="20"/>
          <w:szCs w:val="20"/>
        </w:rPr>
        <w:t>IAs to achieve tangible and intangible</w:t>
      </w:r>
      <w:r w:rsidR="0084108C" w:rsidRPr="0084108C">
        <w:rPr>
          <w:rFonts w:ascii="Times New Roman" w:hAnsi="Times New Roman"/>
          <w:sz w:val="20"/>
          <w:szCs w:val="20"/>
        </w:rPr>
        <w:t xml:space="preserve"> strategic responses and impacts</w:t>
      </w:r>
      <w:r w:rsidR="00640767">
        <w:rPr>
          <w:rFonts w:ascii="Times New Roman" w:hAnsi="Times New Roman"/>
          <w:sz w:val="20"/>
          <w:szCs w:val="20"/>
        </w:rPr>
        <w:t>.</w:t>
      </w:r>
    </w:p>
    <w:p w14:paraId="37EB6ACE" w14:textId="6A56FA4A" w:rsidR="0012233F" w:rsidRDefault="0012233F" w:rsidP="007E4C4B">
      <w:pPr>
        <w:widowControl w:val="0"/>
        <w:autoSpaceDE w:val="0"/>
        <w:autoSpaceDN w:val="0"/>
        <w:adjustRightInd w:val="0"/>
      </w:pPr>
      <w:r w:rsidRPr="00F96898">
        <w:t xml:space="preserve">White (2007b; 2007c) emphasizes the importance of </w:t>
      </w:r>
      <w:r w:rsidRPr="00F96898">
        <w:rPr>
          <w:i/>
        </w:rPr>
        <w:t>human capital</w:t>
      </w:r>
      <w:r w:rsidRPr="00F96898">
        <w:t xml:space="preserve"> valuation, noting the massive investment represented by library expenditure on staffi</w:t>
      </w:r>
      <w:r w:rsidR="002C2CE8">
        <w:t xml:space="preserve">ng, </w:t>
      </w:r>
      <w:r w:rsidRPr="00F96898">
        <w:t>which typically accounts for 5</w:t>
      </w:r>
      <w:r w:rsidR="002C2CE8">
        <w:t>0-70 percent of library budgets</w:t>
      </w:r>
      <w:r w:rsidR="002372E5">
        <w:t>;</w:t>
      </w:r>
      <w:r w:rsidR="002C2CE8">
        <w:t xml:space="preserve"> </w:t>
      </w:r>
      <w:r w:rsidR="002372E5">
        <w:t>the 50 percent</w:t>
      </w:r>
      <w:r w:rsidR="002C2CE8">
        <w:t xml:space="preserve"> </w:t>
      </w:r>
      <w:r w:rsidR="002840F0">
        <w:t xml:space="preserve">figure </w:t>
      </w:r>
      <w:r w:rsidR="002372E5">
        <w:t xml:space="preserve">is </w:t>
      </w:r>
      <w:r w:rsidR="002840F0">
        <w:t>confirmed</w:t>
      </w:r>
      <w:r w:rsidR="002C2CE8">
        <w:t xml:space="preserve"> by Town and </w:t>
      </w:r>
      <w:proofErr w:type="spellStart"/>
      <w:r w:rsidR="002C2CE8">
        <w:t>Kyrillidou</w:t>
      </w:r>
      <w:proofErr w:type="spellEnd"/>
      <w:r w:rsidR="002C2CE8">
        <w:t xml:space="preserve"> (2013)</w:t>
      </w:r>
      <w:r w:rsidR="002372E5">
        <w:t>.</w:t>
      </w:r>
      <w:r w:rsidRPr="00F96898">
        <w:t xml:space="preserve"> </w:t>
      </w:r>
      <w:r w:rsidR="004D1A2F">
        <w:t>White (2007b)</w:t>
      </w:r>
      <w:r w:rsidRPr="00F96898">
        <w:t xml:space="preserve"> argu</w:t>
      </w:r>
      <w:r w:rsidR="004D1A2F">
        <w:t>es</w:t>
      </w:r>
      <w:r w:rsidRPr="00F96898">
        <w:t xml:space="preserve"> that traditional activity-based quantitative metrics </w:t>
      </w:r>
      <w:r w:rsidR="000F6C9A">
        <w:t xml:space="preserve">for library staff </w:t>
      </w:r>
      <w:r w:rsidRPr="00F96898">
        <w:t xml:space="preserve">need to be complemented </w:t>
      </w:r>
      <w:r w:rsidR="001E10EA">
        <w:t>by</w:t>
      </w:r>
      <w:r w:rsidRPr="00F96898">
        <w:t xml:space="preserve"> assessment</w:t>
      </w:r>
      <w:r w:rsidR="001E10EA">
        <w:t xml:space="preserve"> of performance quality and value</w:t>
      </w:r>
      <w:r w:rsidRPr="00F96898">
        <w:t xml:space="preserve">. Town (2011, p. 119) similarly observes that there is value in “what has been built by the library in terms of its staff capability and capacity” that is generally not measured by current frameworks. </w:t>
      </w:r>
      <w:r w:rsidR="001A5D4B">
        <w:t xml:space="preserve">Town and </w:t>
      </w:r>
      <w:proofErr w:type="spellStart"/>
      <w:r w:rsidR="001A5D4B">
        <w:t>Kyrllidou</w:t>
      </w:r>
      <w:proofErr w:type="spellEnd"/>
      <w:r w:rsidR="00CE6CA0">
        <w:t xml:space="preserve"> (2013, p. 13)</w:t>
      </w:r>
      <w:r w:rsidR="001A5D4B">
        <w:t xml:space="preserve"> </w:t>
      </w:r>
      <w:r w:rsidR="00CB2D24">
        <w:t xml:space="preserve">also </w:t>
      </w:r>
      <w:r w:rsidR="007F0CFE">
        <w:t>observe</w:t>
      </w:r>
      <w:r w:rsidR="001A5D4B">
        <w:t xml:space="preserve"> that “Libraries have a large body of </w:t>
      </w:r>
      <w:r w:rsidR="002F7C6B">
        <w:t xml:space="preserve">corporate knowledge tied up in their </w:t>
      </w:r>
      <w:proofErr w:type="spellStart"/>
      <w:r w:rsidR="002F7C6B">
        <w:t>organisation</w:t>
      </w:r>
      <w:proofErr w:type="spellEnd"/>
      <w:r w:rsidR="002F7C6B">
        <w:t xml:space="preserve"> and its processes and methods.” </w:t>
      </w:r>
      <w:r w:rsidRPr="00F96898">
        <w:t>The importance of professional networks and relationships with users, suppliers and others also points in this direction (</w:t>
      </w:r>
      <w:proofErr w:type="spellStart"/>
      <w:r w:rsidRPr="00F96898">
        <w:t>Kostagiolas</w:t>
      </w:r>
      <w:proofErr w:type="spellEnd"/>
      <w:r w:rsidRPr="00F96898">
        <w:t xml:space="preserve"> &amp; </w:t>
      </w:r>
      <w:proofErr w:type="spellStart"/>
      <w:r w:rsidRPr="00F96898">
        <w:t>Asonitis</w:t>
      </w:r>
      <w:proofErr w:type="spellEnd"/>
      <w:r w:rsidRPr="00F96898">
        <w:t xml:space="preserve">, 2009; Town &amp; </w:t>
      </w:r>
      <w:proofErr w:type="spellStart"/>
      <w:r w:rsidRPr="00F96898">
        <w:t>Kyrillidou</w:t>
      </w:r>
      <w:proofErr w:type="spellEnd"/>
      <w:r w:rsidRPr="00F96898">
        <w:t xml:space="preserve">, 2013; Van Deventer &amp; </w:t>
      </w:r>
      <w:proofErr w:type="spellStart"/>
      <w:r w:rsidRPr="00F96898">
        <w:t>Snyman</w:t>
      </w:r>
      <w:proofErr w:type="spellEnd"/>
      <w:r w:rsidRPr="00F96898">
        <w:t>, 2004; White, 2007a).</w:t>
      </w:r>
    </w:p>
    <w:p w14:paraId="21426092" w14:textId="77777777" w:rsidR="00C25142" w:rsidRDefault="00C25142" w:rsidP="00303EA9">
      <w:pPr>
        <w:ind w:firstLine="0"/>
        <w:jc w:val="left"/>
        <w:rPr>
          <w:rFonts w:ascii="Arial" w:hAnsi="Arial"/>
          <w:b/>
          <w:sz w:val="22"/>
          <w:szCs w:val="22"/>
          <w:lang w:val="en"/>
        </w:rPr>
      </w:pPr>
    </w:p>
    <w:p w14:paraId="5D6D241F" w14:textId="6EC6D096" w:rsidR="007E4C4B" w:rsidRPr="00851B1A" w:rsidRDefault="007E4FFD" w:rsidP="00303EA9">
      <w:pPr>
        <w:ind w:firstLine="0"/>
        <w:jc w:val="left"/>
        <w:rPr>
          <w:rFonts w:ascii="Arial" w:hAnsi="Arial"/>
          <w:b/>
          <w:sz w:val="22"/>
          <w:szCs w:val="22"/>
          <w:lang w:val="en"/>
        </w:rPr>
      </w:pPr>
      <w:r w:rsidRPr="00851B1A">
        <w:rPr>
          <w:rFonts w:ascii="Arial" w:hAnsi="Arial"/>
          <w:b/>
          <w:sz w:val="22"/>
          <w:szCs w:val="22"/>
          <w:lang w:val="en"/>
        </w:rPr>
        <w:t>Research Questions and P</w:t>
      </w:r>
      <w:r w:rsidR="007E4C4B" w:rsidRPr="00851B1A">
        <w:rPr>
          <w:rFonts w:ascii="Arial" w:hAnsi="Arial"/>
          <w:b/>
          <w:sz w:val="22"/>
          <w:szCs w:val="22"/>
          <w:lang w:val="en"/>
        </w:rPr>
        <w:t>urpose</w:t>
      </w:r>
    </w:p>
    <w:p w14:paraId="3F0F9772" w14:textId="471E634D" w:rsidR="007E4C4B" w:rsidRPr="009B61D2" w:rsidRDefault="007E4C4B" w:rsidP="007E4C4B">
      <w:pPr>
        <w:spacing w:after="0"/>
        <w:rPr>
          <w:lang w:val="en"/>
        </w:rPr>
      </w:pPr>
      <w:r w:rsidRPr="009B61D2">
        <w:rPr>
          <w:lang w:val="en"/>
        </w:rPr>
        <w:t xml:space="preserve">The </w:t>
      </w:r>
      <w:r>
        <w:rPr>
          <w:lang w:val="en"/>
        </w:rPr>
        <w:t>purpose of the</w:t>
      </w:r>
      <w:r w:rsidRPr="009B61D2">
        <w:rPr>
          <w:lang w:val="en"/>
        </w:rPr>
        <w:t xml:space="preserve"> study is to explore intangible asset evaluation as a library assessment strategy for the digital age, by identifying IAs that libraries are </w:t>
      </w:r>
      <w:r>
        <w:rPr>
          <w:lang w:val="en"/>
        </w:rPr>
        <w:t>exploiting</w:t>
      </w:r>
      <w:r w:rsidRPr="009B61D2">
        <w:rPr>
          <w:lang w:val="en"/>
        </w:rPr>
        <w:t xml:space="preserve"> to compete in the digital world and investigating methods to </w:t>
      </w:r>
      <w:r w:rsidR="00970915">
        <w:rPr>
          <w:lang w:val="en"/>
        </w:rPr>
        <w:t>articulate</w:t>
      </w:r>
      <w:r w:rsidRPr="009B61D2">
        <w:rPr>
          <w:lang w:val="en"/>
        </w:rPr>
        <w:t xml:space="preserve"> their value. The research questions are:</w:t>
      </w:r>
    </w:p>
    <w:p w14:paraId="5431D69E" w14:textId="77777777" w:rsidR="007E4C4B" w:rsidRPr="009B61D2" w:rsidRDefault="007E4C4B" w:rsidP="007D4815">
      <w:pPr>
        <w:pStyle w:val="ListParagraph"/>
        <w:numPr>
          <w:ilvl w:val="0"/>
          <w:numId w:val="6"/>
        </w:numPr>
        <w:ind w:left="144" w:hanging="144"/>
        <w:jc w:val="both"/>
        <w:rPr>
          <w:rFonts w:ascii="Times New Roman" w:hAnsi="Times New Roman"/>
          <w:sz w:val="20"/>
          <w:szCs w:val="20"/>
          <w:lang w:val="en"/>
        </w:rPr>
      </w:pPr>
      <w:r w:rsidRPr="009B61D2">
        <w:rPr>
          <w:rFonts w:ascii="Times New Roman" w:hAnsi="Times New Roman"/>
          <w:sz w:val="20"/>
          <w:szCs w:val="20"/>
          <w:lang w:val="en"/>
        </w:rPr>
        <w:t>What intangible assets are academic libraries exploiting to compete in the digital age?</w:t>
      </w:r>
    </w:p>
    <w:p w14:paraId="17033BF3" w14:textId="77777777" w:rsidR="007E4C4B" w:rsidRPr="009B61D2" w:rsidRDefault="007E4C4B" w:rsidP="00A23896">
      <w:pPr>
        <w:pStyle w:val="ListParagraph"/>
        <w:numPr>
          <w:ilvl w:val="0"/>
          <w:numId w:val="6"/>
        </w:numPr>
        <w:spacing w:after="80"/>
        <w:ind w:left="144" w:hanging="144"/>
        <w:jc w:val="both"/>
        <w:rPr>
          <w:rFonts w:ascii="Times New Roman" w:hAnsi="Times New Roman"/>
          <w:sz w:val="20"/>
          <w:szCs w:val="20"/>
          <w:lang w:val="en"/>
        </w:rPr>
      </w:pPr>
      <w:r w:rsidRPr="009B61D2">
        <w:rPr>
          <w:rFonts w:ascii="Times New Roman" w:hAnsi="Times New Roman"/>
          <w:sz w:val="20"/>
          <w:szCs w:val="20"/>
          <w:lang w:val="en"/>
        </w:rPr>
        <w:t>What methods can academic libraries use to evaluate their intangible assets?</w:t>
      </w:r>
    </w:p>
    <w:p w14:paraId="721F96DE" w14:textId="22724698" w:rsidR="007E4C4B" w:rsidRDefault="007E4C4B" w:rsidP="009724AC">
      <w:pPr>
        <w:rPr>
          <w:lang w:val="en"/>
        </w:rPr>
      </w:pPr>
      <w:r w:rsidRPr="009B61D2">
        <w:rPr>
          <w:lang w:val="en"/>
        </w:rPr>
        <w:t>Two strategic management paradigms are used to frame the study: the resource-based view and intellectual capital theory. Emergent library practice in research data management services is used as a case study.</w:t>
      </w:r>
    </w:p>
    <w:p w14:paraId="3A4228C4" w14:textId="77777777" w:rsidR="00303EA9" w:rsidRPr="00303EA9" w:rsidRDefault="00303EA9" w:rsidP="009724AC">
      <w:pPr>
        <w:rPr>
          <w:lang w:val="en"/>
        </w:rPr>
      </w:pPr>
    </w:p>
    <w:p w14:paraId="40EBA854" w14:textId="52187D76" w:rsidR="007E4C4B" w:rsidRDefault="007E4FFD" w:rsidP="009D50CF">
      <w:pPr>
        <w:widowControl w:val="0"/>
        <w:autoSpaceDE w:val="0"/>
        <w:autoSpaceDN w:val="0"/>
        <w:adjustRightInd w:val="0"/>
        <w:spacing w:before="40"/>
        <w:ind w:firstLine="0"/>
        <w:rPr>
          <w:rFonts w:ascii="Arial" w:hAnsi="Arial" w:cs="Arial"/>
          <w:b/>
          <w:sz w:val="22"/>
          <w:szCs w:val="22"/>
        </w:rPr>
      </w:pPr>
      <w:r>
        <w:rPr>
          <w:rFonts w:ascii="Arial" w:hAnsi="Arial" w:cs="Arial"/>
          <w:b/>
          <w:sz w:val="22"/>
          <w:szCs w:val="22"/>
        </w:rPr>
        <w:t>Theoretical Framework and Literature</w:t>
      </w:r>
    </w:p>
    <w:p w14:paraId="2BA564BA" w14:textId="28A77443" w:rsidR="007F6304" w:rsidRPr="00FE0694" w:rsidRDefault="007F6304" w:rsidP="00D64714">
      <w:pPr>
        <w:rPr>
          <w:lang w:val="en"/>
        </w:rPr>
      </w:pPr>
      <w:r w:rsidRPr="00FE0694">
        <w:rPr>
          <w:lang w:val="en"/>
        </w:rPr>
        <w:t>The resource-based view (RBV) of the firm recognizes tangible and intangible assets as strategic resources whose value in terms of durability, rarity, inimitability, and non-substitutability represent competitive advantage (Barney, 1991; Grant, 1991; Meso &amp; Smith, 2000). Grant (1991, p. 119) identifes financial, physical, human, technological, reputational, and organizational resources as six major categories. A key tenet of RBV is that resources exist as bundles and are interdependent (Marr, 2005).</w:t>
      </w:r>
      <w:r w:rsidR="009D50CF">
        <w:rPr>
          <w:lang w:val="en"/>
        </w:rPr>
        <w:t xml:space="preserve"> </w:t>
      </w:r>
      <w:r w:rsidRPr="00FE0694">
        <w:rPr>
          <w:lang w:val="en"/>
        </w:rPr>
        <w:t xml:space="preserve">The theory has its origins in economics and has been hugely influential in strategic management research since the 1990s. Its focus on internal resources </w:t>
      </w:r>
      <w:r w:rsidR="00C75072">
        <w:rPr>
          <w:lang w:val="en"/>
        </w:rPr>
        <w:t>is often contrasted</w:t>
      </w:r>
      <w:r w:rsidRPr="00FE0694">
        <w:rPr>
          <w:lang w:val="en"/>
        </w:rPr>
        <w:t xml:space="preserve"> with external environmental or market-based explanations of superior performance, although the two approaches </w:t>
      </w:r>
      <w:r w:rsidR="00D64714">
        <w:rPr>
          <w:lang w:val="en"/>
        </w:rPr>
        <w:t xml:space="preserve">are </w:t>
      </w:r>
      <w:r w:rsidRPr="00FE0694">
        <w:rPr>
          <w:lang w:val="en"/>
        </w:rPr>
        <w:t>often brought together in strengths-weaknesses-opport</w:t>
      </w:r>
      <w:r w:rsidR="00D64714">
        <w:rPr>
          <w:lang w:val="en"/>
        </w:rPr>
        <w:t>unities-threats (SWOT) analysis. O</w:t>
      </w:r>
      <w:r w:rsidRPr="00FE0694">
        <w:rPr>
          <w:lang w:val="en"/>
        </w:rPr>
        <w:t xml:space="preserve">ther terms often used interchangeably with “resources” include “capabilities,” “competencies,” and “knowledge” (Barney, 1991; Barney &amp; Clark, 2007), though these terms can also be used more precisely, e.g., Grant (1991, p. 120) explains that a firm’s </w:t>
      </w:r>
      <w:r w:rsidRPr="00FE0694">
        <w:rPr>
          <w:i/>
          <w:lang w:val="en"/>
        </w:rPr>
        <w:t>capabilities</w:t>
      </w:r>
      <w:r w:rsidRPr="00FE0694">
        <w:rPr>
          <w:lang w:val="en"/>
        </w:rPr>
        <w:t xml:space="preserve"> are “what it can do as a result of teams of resources working together.” </w:t>
      </w:r>
    </w:p>
    <w:p w14:paraId="6BD63248" w14:textId="174E4583" w:rsidR="00E508DF" w:rsidRDefault="007F6304" w:rsidP="00D4218D">
      <w:r w:rsidRPr="00FE0694">
        <w:rPr>
          <w:lang w:val="en"/>
        </w:rPr>
        <w:t xml:space="preserve">Within the RBV paradigm, the intellectual capital (IC) perspective regards human, structural, and customer/relational </w:t>
      </w:r>
      <w:r w:rsidR="00771EC6">
        <w:rPr>
          <w:lang w:val="en"/>
        </w:rPr>
        <w:t>capital</w:t>
      </w:r>
      <w:r w:rsidRPr="00FE0694">
        <w:rPr>
          <w:lang w:val="en"/>
        </w:rPr>
        <w:t xml:space="preserve"> as long-term investments enabling value creation for stakeholders, alongside other forms of capital, such as physical and monetary assets (Marr, 2005; Stewart, 1997). </w:t>
      </w:r>
      <w:r w:rsidRPr="00FE0694">
        <w:t xml:space="preserve">The economist John Kenneth Galbraith is generally recognized as introducing the term “intellectual capital” in 1969 (Snyder &amp; Pierce, 2002; Stewart, 1997), and business and management thinker Thomas A. Stewart is frequently credited with establishing the concept in the business world through his 1997 book and series of related articles in </w:t>
      </w:r>
      <w:r w:rsidRPr="00FE0694">
        <w:rPr>
          <w:i/>
        </w:rPr>
        <w:t xml:space="preserve">Fortune </w:t>
      </w:r>
      <w:r w:rsidRPr="00FE0694">
        <w:t>magazine (Koenig, 1997; Snyder &amp; Pierce, 2002). Stewart’s (1997, pp. ix-x) definition of IC is widely quoted, in which he defines the concept as</w:t>
      </w:r>
      <w:r w:rsidR="0066682B">
        <w:t xml:space="preserve"> the</w:t>
      </w:r>
      <w:r w:rsidRPr="00FE0694">
        <w:t xml:space="preserve"> “sum of everything everybody in a company knows that gives it a competitive ed</w:t>
      </w:r>
      <w:r w:rsidR="0066682B">
        <w:t>ge” and “intellectual material – k</w:t>
      </w:r>
      <w:r w:rsidRPr="00FE0694">
        <w:t>nowledge, information, i</w:t>
      </w:r>
      <w:r w:rsidR="0066682B">
        <w:t>ntellectual property, experience –</w:t>
      </w:r>
      <w:r w:rsidR="000C2E02">
        <w:t xml:space="preserve"> th</w:t>
      </w:r>
      <w:r w:rsidRPr="00FE0694">
        <w:t>at can be put to use to create wealth.”</w:t>
      </w:r>
      <w:r w:rsidR="000C65B3">
        <w:t xml:space="preserve"> </w:t>
      </w:r>
    </w:p>
    <w:p w14:paraId="1114894A" w14:textId="525AFE73" w:rsidR="00B366A1" w:rsidRDefault="001F2B43" w:rsidP="00B366A1">
      <w:r>
        <w:t>As explained by Snyder and Pierce (2002, p. 475)</w:t>
      </w:r>
      <w:r w:rsidR="00DC3A17">
        <w:t xml:space="preserve"> </w:t>
      </w:r>
      <w:r w:rsidR="00E508DF">
        <w:t xml:space="preserve">, IC can be both the </w:t>
      </w:r>
      <w:r w:rsidR="00E508DF" w:rsidRPr="00606354">
        <w:rPr>
          <w:i/>
        </w:rPr>
        <w:t>means</w:t>
      </w:r>
      <w:r w:rsidR="00E508DF">
        <w:t xml:space="preserve"> </w:t>
      </w:r>
      <w:r w:rsidR="00A6766B">
        <w:t>(or input</w:t>
      </w:r>
      <w:r w:rsidR="00C528D0">
        <w:t xml:space="preserve">) </w:t>
      </w:r>
      <w:r w:rsidR="00E508DF">
        <w:t xml:space="preserve">and the </w:t>
      </w:r>
      <w:r w:rsidR="00E508DF" w:rsidRPr="00606354">
        <w:rPr>
          <w:i/>
        </w:rPr>
        <w:t>end</w:t>
      </w:r>
      <w:r w:rsidR="00B366A1">
        <w:t xml:space="preserve"> </w:t>
      </w:r>
      <w:r w:rsidR="00C528D0">
        <w:t xml:space="preserve">(or output) </w:t>
      </w:r>
      <w:r w:rsidR="00B366A1">
        <w:t xml:space="preserve">of </w:t>
      </w:r>
      <w:r w:rsidR="00606354">
        <w:t xml:space="preserve">organizational </w:t>
      </w:r>
      <w:r w:rsidR="00A6766B">
        <w:t xml:space="preserve">activity: </w:t>
      </w:r>
      <w:r w:rsidR="00C528D0">
        <w:t>“IC can be both the end result of a knowledge</w:t>
      </w:r>
      <w:r w:rsidR="00E051CA">
        <w:t xml:space="preserve"> transformation process and the knowledge itself that is transformed into intellectual property or assets</w:t>
      </w:r>
      <w:r w:rsidR="00986609">
        <w:t>”.</w:t>
      </w:r>
      <w:r w:rsidR="00634841">
        <w:t xml:space="preserve"> </w:t>
      </w:r>
      <w:r w:rsidR="00DD7019">
        <w:t>A</w:t>
      </w:r>
      <w:r w:rsidR="00634841">
        <w:t>n</w:t>
      </w:r>
      <w:r w:rsidR="00DD7019">
        <w:t xml:space="preserve"> “asset” </w:t>
      </w:r>
      <w:r w:rsidR="00DC411C">
        <w:t>here</w:t>
      </w:r>
      <w:r w:rsidR="00DD7019">
        <w:t xml:space="preserve"> “</w:t>
      </w:r>
      <w:r w:rsidR="00DC411C">
        <w:t xml:space="preserve">can be thought of as </w:t>
      </w:r>
      <w:r w:rsidR="00DD7019">
        <w:t xml:space="preserve">a prior cost that </w:t>
      </w:r>
      <w:r w:rsidR="00DC411C">
        <w:t>h</w:t>
      </w:r>
      <w:r w:rsidR="00DD7019">
        <w:t xml:space="preserve">as a </w:t>
      </w:r>
      <w:r w:rsidR="00DC411C">
        <w:t xml:space="preserve">future benefit” (Snyder &amp; Pierce, 2002, </w:t>
      </w:r>
      <w:r w:rsidR="0001381C">
        <w:t>p. 469).</w:t>
      </w:r>
      <w:r w:rsidR="00634841">
        <w:t xml:space="preserve"> </w:t>
      </w:r>
    </w:p>
    <w:p w14:paraId="5185A2AC" w14:textId="5BE391E8" w:rsidR="002C63D6" w:rsidRPr="002C63D6" w:rsidRDefault="007E4FFD" w:rsidP="00CD5269">
      <w:pPr>
        <w:spacing w:after="0"/>
        <w:ind w:firstLine="0"/>
        <w:rPr>
          <w:i/>
        </w:rPr>
      </w:pPr>
      <w:r>
        <w:rPr>
          <w:i/>
        </w:rPr>
        <w:t>The Intellectual Capital C</w:t>
      </w:r>
      <w:r w:rsidR="002C63D6">
        <w:rPr>
          <w:i/>
        </w:rPr>
        <w:t>oncept</w:t>
      </w:r>
    </w:p>
    <w:p w14:paraId="0D569842" w14:textId="4C2B599A" w:rsidR="00FE0694" w:rsidRPr="00D52770" w:rsidRDefault="007F6304" w:rsidP="00D52770">
      <w:pPr>
        <w:spacing w:after="0"/>
        <w:rPr>
          <w:sz w:val="22"/>
          <w:szCs w:val="22"/>
          <w:lang w:val="en"/>
        </w:rPr>
      </w:pPr>
      <w:r w:rsidRPr="00FE0694">
        <w:t xml:space="preserve">The thinking behind the IC concept extends beyond economics to both the accounting and strategy domains of business and management. Figure 1 shows how </w:t>
      </w:r>
      <w:proofErr w:type="spellStart"/>
      <w:r w:rsidRPr="00FE0694">
        <w:t>Roos</w:t>
      </w:r>
      <w:proofErr w:type="spellEnd"/>
      <w:r w:rsidRPr="00FE0694">
        <w:t xml:space="preserve">, </w:t>
      </w:r>
      <w:proofErr w:type="spellStart"/>
      <w:r w:rsidRPr="00FE0694">
        <w:t>Roos</w:t>
      </w:r>
      <w:proofErr w:type="spellEnd"/>
      <w:r w:rsidRPr="00FE0694">
        <w:t xml:space="preserve">, </w:t>
      </w:r>
      <w:proofErr w:type="spellStart"/>
      <w:r w:rsidRPr="00FE0694">
        <w:t>Dragonetti</w:t>
      </w:r>
      <w:proofErr w:type="spellEnd"/>
      <w:r w:rsidRPr="00FE0694">
        <w:t xml:space="preserve"> and </w:t>
      </w:r>
      <w:proofErr w:type="spellStart"/>
      <w:r w:rsidRPr="00FE0694">
        <w:t>Edvinsson</w:t>
      </w:r>
      <w:proofErr w:type="spellEnd"/>
      <w:r w:rsidRPr="00FE0694">
        <w:t xml:space="preserve"> (1997, p. 15) have depicted the conceptual origins of IC as evolving from a range of related ideas and practices, inclu</w:t>
      </w:r>
      <w:r w:rsidR="00E25F67">
        <w:t xml:space="preserve">ding the learning organization </w:t>
      </w:r>
      <w:r w:rsidR="00B80404">
        <w:t>knowledge management, core competencies, invisible assets</w:t>
      </w:r>
      <w:r w:rsidRPr="00FE0694">
        <w:t xml:space="preserve"> and balanced scorecards.</w:t>
      </w:r>
    </w:p>
    <w:p w14:paraId="397B70D3" w14:textId="77777777" w:rsidR="00D52770" w:rsidRPr="00CD2D4A" w:rsidRDefault="00D52770" w:rsidP="00652793">
      <w:pPr>
        <w:widowControl w:val="0"/>
        <w:autoSpaceDE w:val="0"/>
        <w:autoSpaceDN w:val="0"/>
        <w:adjustRightInd w:val="0"/>
        <w:spacing w:after="0"/>
        <w:ind w:firstLine="0"/>
        <w:jc w:val="center"/>
        <w:rPr>
          <w:sz w:val="12"/>
          <w:szCs w:val="12"/>
        </w:rPr>
      </w:pPr>
    </w:p>
    <w:p w14:paraId="69786702" w14:textId="77777777" w:rsidR="00D52770" w:rsidRDefault="00D52770" w:rsidP="00D52770">
      <w:r>
        <w:rPr>
          <w:noProof/>
        </w:rPr>
        <w:drawing>
          <wp:inline distT="0" distB="0" distL="0" distR="0" wp14:anchorId="4B14B887" wp14:editId="74F7F618">
            <wp:extent cx="2921000" cy="212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3003" t="14668" r="2000" b="2667"/>
                    <a:stretch>
                      <a:fillRect/>
                    </a:stretch>
                  </pic:blipFill>
                  <pic:spPr bwMode="auto">
                    <a:xfrm>
                      <a:off x="0" y="0"/>
                      <a:ext cx="2921000" cy="2120900"/>
                    </a:xfrm>
                    <a:prstGeom prst="rect">
                      <a:avLst/>
                    </a:prstGeom>
                    <a:noFill/>
                    <a:ln>
                      <a:noFill/>
                    </a:ln>
                  </pic:spPr>
                </pic:pic>
              </a:graphicData>
            </a:graphic>
          </wp:inline>
        </w:drawing>
      </w:r>
    </w:p>
    <w:p w14:paraId="4FA43454" w14:textId="77777777" w:rsidR="00D52770" w:rsidRPr="00D52770" w:rsidRDefault="00D52770" w:rsidP="00652793">
      <w:pPr>
        <w:widowControl w:val="0"/>
        <w:autoSpaceDE w:val="0"/>
        <w:autoSpaceDN w:val="0"/>
        <w:adjustRightInd w:val="0"/>
        <w:spacing w:after="0"/>
        <w:ind w:firstLine="0"/>
        <w:jc w:val="center"/>
        <w:rPr>
          <w:sz w:val="12"/>
          <w:szCs w:val="12"/>
        </w:rPr>
      </w:pPr>
    </w:p>
    <w:p w14:paraId="4E1BDA64" w14:textId="77777777" w:rsidR="00FE0694" w:rsidRDefault="00E7223F" w:rsidP="00CD2D4A">
      <w:pPr>
        <w:widowControl w:val="0"/>
        <w:autoSpaceDE w:val="0"/>
        <w:autoSpaceDN w:val="0"/>
        <w:adjustRightInd w:val="0"/>
        <w:spacing w:after="0"/>
        <w:ind w:firstLine="0"/>
        <w:jc w:val="center"/>
      </w:pPr>
      <w:r w:rsidRPr="00E7223F">
        <w:t xml:space="preserve">Figure 1. Conceptual roots of intellectual capital </w:t>
      </w:r>
    </w:p>
    <w:p w14:paraId="218776FE" w14:textId="15FC93D5" w:rsidR="00FE0694" w:rsidRPr="00CD2D4A" w:rsidRDefault="00E7223F" w:rsidP="00731AC2">
      <w:pPr>
        <w:widowControl w:val="0"/>
        <w:autoSpaceDE w:val="0"/>
        <w:autoSpaceDN w:val="0"/>
        <w:adjustRightInd w:val="0"/>
        <w:spacing w:after="120"/>
        <w:ind w:firstLine="0"/>
        <w:jc w:val="center"/>
      </w:pPr>
      <w:r w:rsidRPr="00E7223F">
        <w:t>(</w:t>
      </w:r>
      <w:proofErr w:type="spellStart"/>
      <w:r w:rsidRPr="00E7223F">
        <w:t>Roos</w:t>
      </w:r>
      <w:proofErr w:type="spellEnd"/>
      <w:r w:rsidRPr="00E7223F">
        <w:t xml:space="preserve"> et al., 1997)</w:t>
      </w:r>
    </w:p>
    <w:p w14:paraId="14E12ADD" w14:textId="7E6A1EC1" w:rsidR="00E234CC" w:rsidRPr="00E234CC" w:rsidRDefault="00652793" w:rsidP="007F00D3">
      <w:pPr>
        <w:widowControl w:val="0"/>
        <w:autoSpaceDE w:val="0"/>
        <w:autoSpaceDN w:val="0"/>
        <w:adjustRightInd w:val="0"/>
        <w:spacing w:after="0"/>
      </w:pPr>
      <w:r w:rsidRPr="00652793">
        <w:t>The terms “intangible assets” and “invisible assets” are often used interchangeably with IC – along with “intellectual assets,” “knowledge assets,”</w:t>
      </w:r>
      <w:r w:rsidR="001B21D6">
        <w:t xml:space="preserve"> “knowledge-based resources”</w:t>
      </w:r>
      <w:r w:rsidRPr="00652793">
        <w:t xml:space="preserve"> and “knowledge capital” – </w:t>
      </w:r>
      <w:r w:rsidR="001B01D6">
        <w:t>although</w:t>
      </w:r>
      <w:r w:rsidRPr="00652793">
        <w:t xml:space="preserve"> some </w:t>
      </w:r>
      <w:r w:rsidR="006A3D72">
        <w:t xml:space="preserve">scholars </w:t>
      </w:r>
      <w:r w:rsidRPr="00652793">
        <w:t xml:space="preserve">define these terms more precisely and </w:t>
      </w:r>
      <w:r w:rsidR="003252BE">
        <w:t>put</w:t>
      </w:r>
      <w:r w:rsidRPr="00652793">
        <w:t xml:space="preserve"> them in a </w:t>
      </w:r>
      <w:r w:rsidR="00DA1380">
        <w:t>hierarchy</w:t>
      </w:r>
      <w:r w:rsidRPr="00652793">
        <w:t xml:space="preserve">. </w:t>
      </w:r>
      <w:r w:rsidR="00DA1380">
        <w:t>T</w:t>
      </w:r>
      <w:r w:rsidR="00E234CC" w:rsidRPr="00E234CC">
        <w:t xml:space="preserve">he </w:t>
      </w:r>
      <w:proofErr w:type="spellStart"/>
      <w:r w:rsidR="00E234CC" w:rsidRPr="00E234CC">
        <w:t>Organisation</w:t>
      </w:r>
      <w:proofErr w:type="spellEnd"/>
      <w:r w:rsidR="00E234CC" w:rsidRPr="00E234CC">
        <w:t xml:space="preserve"> for Economic Co-operation and Development (OECD, 2006, p. 9), has noted the “proliferation of definitions, classifications and measurement techniques” in the field, but has adopted the term </w:t>
      </w:r>
      <w:r w:rsidR="00E234CC" w:rsidRPr="00E234CC">
        <w:rPr>
          <w:i/>
        </w:rPr>
        <w:t>intellectual assets</w:t>
      </w:r>
      <w:r w:rsidR="00E234CC" w:rsidRPr="00E234CC">
        <w:t xml:space="preserve"> “to maintain symmetry with the term “physical” or “tangible” assets” without making a distinction between intellectual and intangible assets, recognizing their synonymous use within the field of IC and knowledge management. OECD (2006, p. 9) asserts that despite the multiplicity of definitions, “they refer to the same reality: “a non-physical asset with a potential stream of future benefits,” which the report then identifies with “three core characteristics: </w:t>
      </w:r>
    </w:p>
    <w:p w14:paraId="1D361DCE" w14:textId="77777777" w:rsidR="00E234CC" w:rsidRPr="00A64ABC" w:rsidRDefault="00E234CC" w:rsidP="00A64ABC">
      <w:pPr>
        <w:pStyle w:val="ListParagraph"/>
        <w:widowControl w:val="0"/>
        <w:numPr>
          <w:ilvl w:val="0"/>
          <w:numId w:val="8"/>
        </w:numPr>
        <w:autoSpaceDE w:val="0"/>
        <w:autoSpaceDN w:val="0"/>
        <w:adjustRightInd w:val="0"/>
        <w:ind w:left="288" w:hanging="288"/>
        <w:rPr>
          <w:rFonts w:ascii="Times New Roman" w:hAnsi="Times New Roman"/>
          <w:sz w:val="20"/>
          <w:szCs w:val="20"/>
        </w:rPr>
      </w:pPr>
      <w:r w:rsidRPr="00A64ABC">
        <w:rPr>
          <w:rFonts w:ascii="Times New Roman" w:hAnsi="Times New Roman"/>
          <w:sz w:val="20"/>
          <w:szCs w:val="20"/>
        </w:rPr>
        <w:t xml:space="preserve">they are sources of probable future economic profits; </w:t>
      </w:r>
    </w:p>
    <w:p w14:paraId="4022202F" w14:textId="77777777" w:rsidR="00E234CC" w:rsidRPr="00A64ABC" w:rsidRDefault="00E234CC" w:rsidP="00A64ABC">
      <w:pPr>
        <w:pStyle w:val="ListParagraph"/>
        <w:widowControl w:val="0"/>
        <w:numPr>
          <w:ilvl w:val="0"/>
          <w:numId w:val="8"/>
        </w:numPr>
        <w:autoSpaceDE w:val="0"/>
        <w:autoSpaceDN w:val="0"/>
        <w:adjustRightInd w:val="0"/>
        <w:ind w:left="288" w:hanging="288"/>
        <w:rPr>
          <w:rFonts w:ascii="Times New Roman" w:hAnsi="Times New Roman"/>
          <w:sz w:val="20"/>
          <w:szCs w:val="20"/>
        </w:rPr>
      </w:pPr>
      <w:r w:rsidRPr="00A64ABC">
        <w:rPr>
          <w:rFonts w:ascii="Times New Roman" w:hAnsi="Times New Roman"/>
          <w:sz w:val="20"/>
          <w:szCs w:val="20"/>
        </w:rPr>
        <w:t xml:space="preserve">lack physical substance; and </w:t>
      </w:r>
    </w:p>
    <w:p w14:paraId="78397553" w14:textId="476887C2" w:rsidR="00E234CC" w:rsidRPr="00A64ABC" w:rsidRDefault="001001CC" w:rsidP="00A64ABC">
      <w:pPr>
        <w:pStyle w:val="ListParagraph"/>
        <w:widowControl w:val="0"/>
        <w:numPr>
          <w:ilvl w:val="0"/>
          <w:numId w:val="8"/>
        </w:numPr>
        <w:autoSpaceDE w:val="0"/>
        <w:autoSpaceDN w:val="0"/>
        <w:adjustRightInd w:val="0"/>
        <w:ind w:left="288" w:hanging="288"/>
        <w:rPr>
          <w:rFonts w:ascii="Times New Roman" w:hAnsi="Times New Roman"/>
          <w:sz w:val="20"/>
          <w:szCs w:val="20"/>
        </w:rPr>
      </w:pPr>
      <w:r>
        <w:rPr>
          <w:rFonts w:ascii="Times New Roman" w:hAnsi="Times New Roman"/>
          <w:sz w:val="20"/>
          <w:szCs w:val="20"/>
        </w:rPr>
        <w:t>to some extent, they can be</w:t>
      </w:r>
      <w:r w:rsidR="00E234CC" w:rsidRPr="00A64ABC">
        <w:rPr>
          <w:rFonts w:ascii="Times New Roman" w:hAnsi="Times New Roman"/>
          <w:sz w:val="20"/>
          <w:szCs w:val="20"/>
        </w:rPr>
        <w:t xml:space="preserve"> retained and traded by a firm.” </w:t>
      </w:r>
    </w:p>
    <w:p w14:paraId="108EEB25" w14:textId="77777777" w:rsidR="001D5FCB" w:rsidRDefault="00E234CC" w:rsidP="001D5FCB">
      <w:pPr>
        <w:widowControl w:val="0"/>
        <w:autoSpaceDE w:val="0"/>
        <w:autoSpaceDN w:val="0"/>
        <w:adjustRightInd w:val="0"/>
      </w:pPr>
      <w:r w:rsidRPr="00E234CC">
        <w:t xml:space="preserve">The notion of intellectual capital/assets has evolved from a narrow focus on intellectual property, such as patents, trademarks, and software, to a broader conception that typically includes “human resources and capabilities, </w:t>
      </w:r>
      <w:proofErr w:type="spellStart"/>
      <w:r w:rsidRPr="00E234CC">
        <w:t>organisational</w:t>
      </w:r>
      <w:proofErr w:type="spellEnd"/>
      <w:r w:rsidRPr="00E234CC">
        <w:t xml:space="preserve"> competencies (databases, technology, routines and culture) and “relational” capital including </w:t>
      </w:r>
      <w:proofErr w:type="spellStart"/>
      <w:r w:rsidRPr="00E234CC">
        <w:t>organisational</w:t>
      </w:r>
      <w:proofErr w:type="spellEnd"/>
      <w:r w:rsidRPr="00E234CC">
        <w:t xml:space="preserve"> designs and processes, and customer and supplier networks” (OECD, 2006, p. 9). Significantly from a library and information science viewpoint, descriptions of intellectual/intangible assets now tend to include “dynamic business attributes such as knowledge-creating capability, rights of access to technology, the ability to use information, operating procedures and processes, management capability to execute strategy, and innovativeness” – which OECD (2006, p. 9) perceives as confusing the assets themselves with their “value drivers”, represented by management ability to generate value from the assets.</w:t>
      </w:r>
      <w:r w:rsidR="002A2B77">
        <w:t xml:space="preserve"> </w:t>
      </w:r>
    </w:p>
    <w:p w14:paraId="250CD5C8" w14:textId="55DF92E7" w:rsidR="005F2B81" w:rsidRPr="00F33F07" w:rsidRDefault="005F2B81" w:rsidP="005B5F21">
      <w:pPr>
        <w:widowControl w:val="0"/>
        <w:autoSpaceDE w:val="0"/>
        <w:autoSpaceDN w:val="0"/>
        <w:adjustRightInd w:val="0"/>
        <w:spacing w:after="0"/>
        <w:ind w:firstLine="0"/>
        <w:rPr>
          <w:i/>
        </w:rPr>
      </w:pPr>
      <w:r w:rsidRPr="00F33F07">
        <w:rPr>
          <w:i/>
        </w:rPr>
        <w:t xml:space="preserve">Classifications of </w:t>
      </w:r>
      <w:r w:rsidR="007E4FFD">
        <w:rPr>
          <w:i/>
        </w:rPr>
        <w:t>Intellectual C</w:t>
      </w:r>
      <w:r w:rsidR="00F33F07" w:rsidRPr="00F33F07">
        <w:rPr>
          <w:i/>
        </w:rPr>
        <w:t>apital</w:t>
      </w:r>
    </w:p>
    <w:p w14:paraId="557EA17E" w14:textId="44664E77" w:rsidR="00E234CC" w:rsidRDefault="001270E3" w:rsidP="004E7651">
      <w:pPr>
        <w:widowControl w:val="0"/>
        <w:autoSpaceDE w:val="0"/>
        <w:autoSpaceDN w:val="0"/>
        <w:adjustRightInd w:val="0"/>
        <w:rPr>
          <w:sz w:val="22"/>
          <w:szCs w:val="22"/>
        </w:rPr>
      </w:pPr>
      <w:r>
        <w:t>T</w:t>
      </w:r>
      <w:r w:rsidR="00E234CC" w:rsidRPr="00E234CC">
        <w:t xml:space="preserve">here are many different conceptualizations of </w:t>
      </w:r>
      <w:r w:rsidR="004924D3">
        <w:t>IAs</w:t>
      </w:r>
      <w:r>
        <w:t>:</w:t>
      </w:r>
      <w:r w:rsidR="00E234CC" w:rsidRPr="00E234CC">
        <w:t xml:space="preserve"> </w:t>
      </w:r>
      <w:proofErr w:type="spellStart"/>
      <w:r w:rsidR="00E234CC" w:rsidRPr="00E234CC">
        <w:t>Choong</w:t>
      </w:r>
      <w:proofErr w:type="spellEnd"/>
      <w:r w:rsidR="00E234CC" w:rsidRPr="00E234CC">
        <w:t xml:space="preserve"> (2008, pp. 618-619) lists 36 attempts by researchers, professions and other organizations to categorize IC, </w:t>
      </w:r>
      <w:r w:rsidR="005615FF">
        <w:t>and suggests</w:t>
      </w:r>
      <w:r w:rsidR="00AD1815">
        <w:t xml:space="preserve"> that</w:t>
      </w:r>
      <w:r w:rsidR="00E234CC" w:rsidRPr="00E234CC">
        <w:t xml:space="preserve"> lack of consensus on the precise definition and systematic</w:t>
      </w:r>
      <w:r w:rsidR="005615FF">
        <w:t xml:space="preserve"> classification of </w:t>
      </w:r>
      <w:r w:rsidR="00AD1815">
        <w:t>IAs</w:t>
      </w:r>
      <w:r w:rsidR="005615FF">
        <w:t xml:space="preserve"> encourages</w:t>
      </w:r>
      <w:r w:rsidR="00E234CC" w:rsidRPr="00E234CC">
        <w:t xml:space="preserve"> development of broad categorizations. </w:t>
      </w:r>
      <w:r w:rsidR="00780368">
        <w:t>D</w:t>
      </w:r>
      <w:r w:rsidR="00E234CC" w:rsidRPr="00E234CC">
        <w:t xml:space="preserve">espite variation in the terminology and complexity of the models, from the outset there has been a striking convergence of thinking on the broad categories or main components of IC. Table 1 shows the breakdowns </w:t>
      </w:r>
      <w:r w:rsidR="005B5F21">
        <w:t xml:space="preserve">used by </w:t>
      </w:r>
      <w:r w:rsidR="00E234CC" w:rsidRPr="00E234CC">
        <w:t>prominent American, British, and Swedish writers from the early period of IC research and development.</w:t>
      </w:r>
      <w:r w:rsidR="00E234CC">
        <w:rPr>
          <w:sz w:val="22"/>
          <w:szCs w:val="22"/>
        </w:rPr>
        <w:t xml:space="preserve"> </w:t>
      </w:r>
    </w:p>
    <w:p w14:paraId="760639BC" w14:textId="77777777" w:rsidR="0049324F" w:rsidRPr="004C0210" w:rsidRDefault="003636F2" w:rsidP="004E7651">
      <w:pPr>
        <w:widowControl w:val="0"/>
        <w:autoSpaceDE w:val="0"/>
        <w:autoSpaceDN w:val="0"/>
        <w:adjustRightInd w:val="0"/>
        <w:ind w:firstLine="0"/>
        <w:jc w:val="center"/>
      </w:pPr>
      <w:r w:rsidRPr="003636F2">
        <w:t>Table 1. Early classifications of intellectual capital</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29" w:type="dxa"/>
          <w:bottom w:w="58" w:type="dxa"/>
          <w:right w:w="29" w:type="dxa"/>
        </w:tblCellMar>
        <w:tblLook w:val="0160" w:firstRow="1" w:lastRow="1" w:firstColumn="0" w:lastColumn="1" w:noHBand="0" w:noVBand="0"/>
      </w:tblPr>
      <w:tblGrid>
        <w:gridCol w:w="1264"/>
        <w:gridCol w:w="1492"/>
        <w:gridCol w:w="911"/>
        <w:gridCol w:w="1013"/>
      </w:tblGrid>
      <w:tr w:rsidR="0049324F" w:rsidRPr="003D2BFF" w14:paraId="3F34F065" w14:textId="77777777" w:rsidTr="0049324F">
        <w:trPr>
          <w:trHeight w:val="346"/>
        </w:trPr>
        <w:tc>
          <w:tcPr>
            <w:tcW w:w="0" w:type="auto"/>
            <w:tcMar>
              <w:top w:w="29" w:type="dxa"/>
              <w:left w:w="29" w:type="dxa"/>
              <w:bottom w:w="58" w:type="dxa"/>
              <w:right w:w="29" w:type="dxa"/>
            </w:tcMar>
            <w:vAlign w:val="center"/>
          </w:tcPr>
          <w:p w14:paraId="67E1CEC4" w14:textId="77777777" w:rsidR="0049324F" w:rsidRDefault="0049324F" w:rsidP="0049324F">
            <w:pPr>
              <w:pStyle w:val="BodyTextIndent"/>
              <w:ind w:firstLine="0"/>
              <w:jc w:val="center"/>
              <w:rPr>
                <w:b/>
                <w:bCs/>
              </w:rPr>
            </w:pPr>
            <w:r>
              <w:rPr>
                <w:b/>
                <w:bCs/>
              </w:rPr>
              <w:t>Brooking</w:t>
            </w:r>
          </w:p>
          <w:p w14:paraId="5CC61D94" w14:textId="77777777" w:rsidR="0049324F" w:rsidRPr="003D2BFF" w:rsidRDefault="0049324F" w:rsidP="0049324F">
            <w:pPr>
              <w:pStyle w:val="BodyTextIndent"/>
              <w:ind w:firstLine="0"/>
              <w:jc w:val="center"/>
              <w:rPr>
                <w:b/>
                <w:bCs/>
              </w:rPr>
            </w:pPr>
            <w:r>
              <w:rPr>
                <w:b/>
                <w:bCs/>
              </w:rPr>
              <w:t>(1996)</w:t>
            </w:r>
          </w:p>
        </w:tc>
        <w:tc>
          <w:tcPr>
            <w:tcW w:w="0" w:type="auto"/>
            <w:tcMar>
              <w:top w:w="29" w:type="dxa"/>
              <w:left w:w="29" w:type="dxa"/>
              <w:bottom w:w="58" w:type="dxa"/>
              <w:right w:w="29" w:type="dxa"/>
            </w:tcMar>
            <w:vAlign w:val="center"/>
          </w:tcPr>
          <w:p w14:paraId="37699194" w14:textId="77777777" w:rsidR="0049324F" w:rsidRDefault="0049324F" w:rsidP="0049324F">
            <w:pPr>
              <w:pStyle w:val="BodyTextIndent"/>
              <w:ind w:firstLine="0"/>
              <w:jc w:val="center"/>
              <w:rPr>
                <w:b/>
                <w:bCs/>
              </w:rPr>
            </w:pPr>
            <w:proofErr w:type="spellStart"/>
            <w:r>
              <w:rPr>
                <w:b/>
                <w:bCs/>
              </w:rPr>
              <w:t>Roos</w:t>
            </w:r>
            <w:proofErr w:type="spellEnd"/>
            <w:r>
              <w:rPr>
                <w:b/>
                <w:bCs/>
              </w:rPr>
              <w:t xml:space="preserve"> &amp; </w:t>
            </w:r>
            <w:proofErr w:type="spellStart"/>
            <w:r>
              <w:rPr>
                <w:b/>
                <w:bCs/>
              </w:rPr>
              <w:t>Roos</w:t>
            </w:r>
            <w:proofErr w:type="spellEnd"/>
            <w:r>
              <w:rPr>
                <w:b/>
                <w:bCs/>
              </w:rPr>
              <w:t xml:space="preserve"> </w:t>
            </w:r>
          </w:p>
          <w:p w14:paraId="6802BA4C" w14:textId="77777777" w:rsidR="0049324F" w:rsidRPr="003D2BFF" w:rsidRDefault="0049324F" w:rsidP="0049324F">
            <w:pPr>
              <w:pStyle w:val="BodyTextIndent"/>
              <w:ind w:firstLine="0"/>
              <w:jc w:val="center"/>
              <w:rPr>
                <w:b/>
                <w:bCs/>
              </w:rPr>
            </w:pPr>
            <w:r>
              <w:rPr>
                <w:b/>
                <w:bCs/>
              </w:rPr>
              <w:t>(1997)</w:t>
            </w:r>
          </w:p>
        </w:tc>
        <w:tc>
          <w:tcPr>
            <w:tcW w:w="0" w:type="auto"/>
            <w:tcMar>
              <w:top w:w="29" w:type="dxa"/>
              <w:left w:w="29" w:type="dxa"/>
              <w:bottom w:w="58" w:type="dxa"/>
              <w:right w:w="29" w:type="dxa"/>
            </w:tcMar>
            <w:vAlign w:val="center"/>
          </w:tcPr>
          <w:p w14:paraId="4BB1E627" w14:textId="77777777" w:rsidR="0049324F" w:rsidRDefault="0049324F" w:rsidP="0049324F">
            <w:pPr>
              <w:pStyle w:val="BodyTextIndent"/>
              <w:ind w:firstLine="0"/>
              <w:jc w:val="center"/>
              <w:rPr>
                <w:b/>
                <w:bCs/>
              </w:rPr>
            </w:pPr>
            <w:r>
              <w:rPr>
                <w:b/>
                <w:bCs/>
              </w:rPr>
              <w:t>Stewart</w:t>
            </w:r>
          </w:p>
          <w:p w14:paraId="02D73944" w14:textId="77777777" w:rsidR="0049324F" w:rsidRPr="003D2BFF" w:rsidRDefault="0049324F" w:rsidP="0049324F">
            <w:pPr>
              <w:pStyle w:val="BodyTextIndent"/>
              <w:ind w:firstLine="0"/>
              <w:jc w:val="center"/>
              <w:rPr>
                <w:b/>
                <w:bCs/>
              </w:rPr>
            </w:pPr>
            <w:r>
              <w:rPr>
                <w:b/>
                <w:bCs/>
              </w:rPr>
              <w:t>(1997)</w:t>
            </w:r>
          </w:p>
        </w:tc>
        <w:tc>
          <w:tcPr>
            <w:tcW w:w="0" w:type="auto"/>
            <w:tcMar>
              <w:top w:w="29" w:type="dxa"/>
              <w:left w:w="29" w:type="dxa"/>
              <w:bottom w:w="58" w:type="dxa"/>
              <w:right w:w="29" w:type="dxa"/>
            </w:tcMar>
            <w:vAlign w:val="center"/>
          </w:tcPr>
          <w:p w14:paraId="15BCAA0A" w14:textId="77777777" w:rsidR="0049324F" w:rsidRDefault="0049324F" w:rsidP="0049324F">
            <w:pPr>
              <w:pStyle w:val="BodyTextIndent"/>
              <w:ind w:firstLine="0"/>
              <w:jc w:val="center"/>
              <w:rPr>
                <w:b/>
                <w:bCs/>
              </w:rPr>
            </w:pPr>
            <w:proofErr w:type="spellStart"/>
            <w:r>
              <w:rPr>
                <w:b/>
                <w:bCs/>
              </w:rPr>
              <w:t>Sveiby</w:t>
            </w:r>
            <w:proofErr w:type="spellEnd"/>
          </w:p>
          <w:p w14:paraId="01D40E4A" w14:textId="77777777" w:rsidR="0049324F" w:rsidRDefault="0049324F" w:rsidP="0049324F">
            <w:pPr>
              <w:pStyle w:val="BodyTextIndent"/>
              <w:ind w:firstLine="0"/>
              <w:jc w:val="center"/>
              <w:rPr>
                <w:b/>
                <w:bCs/>
              </w:rPr>
            </w:pPr>
            <w:r>
              <w:rPr>
                <w:b/>
                <w:bCs/>
              </w:rPr>
              <w:t>(1997)</w:t>
            </w:r>
          </w:p>
        </w:tc>
      </w:tr>
      <w:tr w:rsidR="0049324F" w:rsidRPr="003D2BFF" w14:paraId="63817183" w14:textId="77777777" w:rsidTr="0049324F">
        <w:trPr>
          <w:trHeight w:val="346"/>
        </w:trPr>
        <w:tc>
          <w:tcPr>
            <w:tcW w:w="0" w:type="auto"/>
            <w:tcMar>
              <w:top w:w="29" w:type="dxa"/>
              <w:left w:w="29" w:type="dxa"/>
              <w:bottom w:w="58" w:type="dxa"/>
              <w:right w:w="29" w:type="dxa"/>
            </w:tcMar>
            <w:vAlign w:val="center"/>
          </w:tcPr>
          <w:p w14:paraId="6CF71F6B" w14:textId="77777777" w:rsidR="0049324F" w:rsidRPr="001F6450" w:rsidRDefault="0049324F" w:rsidP="0049324F">
            <w:pPr>
              <w:pStyle w:val="BodyTextIndent"/>
              <w:ind w:firstLine="0"/>
              <w:jc w:val="center"/>
            </w:pPr>
            <w:r w:rsidRPr="001F6450">
              <w:t>Market</w:t>
            </w:r>
          </w:p>
          <w:p w14:paraId="5F7D3CB6" w14:textId="77777777" w:rsidR="0049324F" w:rsidRPr="001F6450" w:rsidRDefault="0049324F" w:rsidP="0049324F">
            <w:pPr>
              <w:pStyle w:val="BodyTextIndent"/>
              <w:ind w:firstLine="0"/>
              <w:jc w:val="center"/>
            </w:pPr>
            <w:r w:rsidRPr="001F6450">
              <w:t>assets</w:t>
            </w:r>
          </w:p>
        </w:tc>
        <w:tc>
          <w:tcPr>
            <w:tcW w:w="0" w:type="auto"/>
            <w:tcMar>
              <w:top w:w="29" w:type="dxa"/>
              <w:left w:w="29" w:type="dxa"/>
              <w:bottom w:w="58" w:type="dxa"/>
              <w:right w:w="29" w:type="dxa"/>
            </w:tcMar>
            <w:vAlign w:val="center"/>
          </w:tcPr>
          <w:p w14:paraId="628F013C" w14:textId="77777777" w:rsidR="0049324F" w:rsidRPr="001F6450" w:rsidRDefault="0049324F" w:rsidP="0049324F">
            <w:pPr>
              <w:pStyle w:val="BodyTextIndent"/>
              <w:ind w:firstLine="0"/>
              <w:jc w:val="center"/>
            </w:pPr>
            <w:r w:rsidRPr="001F6450">
              <w:t>Customer and relationship capital</w:t>
            </w:r>
          </w:p>
        </w:tc>
        <w:tc>
          <w:tcPr>
            <w:tcW w:w="0" w:type="auto"/>
            <w:tcMar>
              <w:top w:w="29" w:type="dxa"/>
              <w:left w:w="29" w:type="dxa"/>
              <w:bottom w:w="58" w:type="dxa"/>
              <w:right w:w="29" w:type="dxa"/>
            </w:tcMar>
            <w:vAlign w:val="center"/>
          </w:tcPr>
          <w:p w14:paraId="232F42F3" w14:textId="77777777" w:rsidR="0049324F" w:rsidRPr="001F6450" w:rsidRDefault="0049324F" w:rsidP="0049324F">
            <w:pPr>
              <w:pStyle w:val="BodyTextIndent"/>
              <w:ind w:firstLine="0"/>
              <w:jc w:val="center"/>
            </w:pPr>
            <w:r w:rsidRPr="001F6450">
              <w:t>Customer capital</w:t>
            </w:r>
          </w:p>
        </w:tc>
        <w:tc>
          <w:tcPr>
            <w:tcW w:w="0" w:type="auto"/>
            <w:tcMar>
              <w:top w:w="29" w:type="dxa"/>
              <w:left w:w="29" w:type="dxa"/>
              <w:bottom w:w="58" w:type="dxa"/>
              <w:right w:w="29" w:type="dxa"/>
            </w:tcMar>
            <w:vAlign w:val="center"/>
          </w:tcPr>
          <w:p w14:paraId="67282A2F" w14:textId="77777777" w:rsidR="0049324F" w:rsidRDefault="0049324F" w:rsidP="0049324F">
            <w:pPr>
              <w:pStyle w:val="BodyTextIndent"/>
              <w:ind w:firstLine="0"/>
              <w:jc w:val="center"/>
            </w:pPr>
            <w:r>
              <w:t>External</w:t>
            </w:r>
          </w:p>
          <w:p w14:paraId="0AE738F9" w14:textId="77777777" w:rsidR="0049324F" w:rsidRPr="001F6450" w:rsidRDefault="0049324F" w:rsidP="0049324F">
            <w:pPr>
              <w:pStyle w:val="BodyTextIndent"/>
              <w:ind w:firstLine="0"/>
              <w:jc w:val="center"/>
            </w:pPr>
            <w:r>
              <w:t>structure</w:t>
            </w:r>
          </w:p>
        </w:tc>
      </w:tr>
      <w:tr w:rsidR="0049324F" w:rsidRPr="003D2BFF" w14:paraId="1D0F4B12" w14:textId="77777777" w:rsidTr="0049324F">
        <w:trPr>
          <w:trHeight w:val="346"/>
        </w:trPr>
        <w:tc>
          <w:tcPr>
            <w:tcW w:w="0" w:type="auto"/>
            <w:tcMar>
              <w:top w:w="29" w:type="dxa"/>
              <w:left w:w="29" w:type="dxa"/>
              <w:bottom w:w="58" w:type="dxa"/>
              <w:right w:w="29" w:type="dxa"/>
            </w:tcMar>
            <w:vAlign w:val="center"/>
          </w:tcPr>
          <w:p w14:paraId="77EC8C3F" w14:textId="77777777" w:rsidR="0049324F" w:rsidRDefault="0049324F" w:rsidP="0049324F">
            <w:pPr>
              <w:pStyle w:val="BodyTextIndent"/>
              <w:ind w:firstLine="0"/>
              <w:jc w:val="center"/>
            </w:pPr>
          </w:p>
          <w:p w14:paraId="48CD4F09" w14:textId="77777777" w:rsidR="0049324F" w:rsidRDefault="0049324F" w:rsidP="0049324F">
            <w:pPr>
              <w:pStyle w:val="BodyTextIndent"/>
              <w:ind w:firstLine="0"/>
              <w:jc w:val="center"/>
            </w:pPr>
            <w:r w:rsidRPr="001F6450">
              <w:t>Infrastructure assets</w:t>
            </w:r>
          </w:p>
          <w:p w14:paraId="075DF9BE" w14:textId="77777777" w:rsidR="0049324F" w:rsidRPr="001F6450" w:rsidRDefault="0049324F" w:rsidP="0049324F">
            <w:pPr>
              <w:pStyle w:val="BodyTextIndent"/>
              <w:ind w:firstLine="0"/>
              <w:jc w:val="center"/>
            </w:pPr>
          </w:p>
        </w:tc>
        <w:tc>
          <w:tcPr>
            <w:tcW w:w="0" w:type="auto"/>
            <w:vMerge w:val="restart"/>
            <w:tcMar>
              <w:top w:w="29" w:type="dxa"/>
              <w:left w:w="29" w:type="dxa"/>
              <w:bottom w:w="58" w:type="dxa"/>
              <w:right w:w="29" w:type="dxa"/>
            </w:tcMar>
            <w:vAlign w:val="center"/>
          </w:tcPr>
          <w:p w14:paraId="3B42AFF6" w14:textId="77777777" w:rsidR="0049324F" w:rsidRPr="001F6450" w:rsidRDefault="0049324F" w:rsidP="0049324F">
            <w:pPr>
              <w:pStyle w:val="BodyTextIndent"/>
              <w:ind w:firstLine="0"/>
              <w:jc w:val="center"/>
            </w:pPr>
            <w:r w:rsidRPr="001F6450">
              <w:t>Organizational capital:</w:t>
            </w:r>
          </w:p>
          <w:p w14:paraId="08654437" w14:textId="77777777" w:rsidR="0049324F" w:rsidRPr="001F6450" w:rsidRDefault="0049324F" w:rsidP="0049324F">
            <w:pPr>
              <w:pStyle w:val="BodyTextIndent"/>
              <w:ind w:firstLine="0"/>
              <w:jc w:val="center"/>
            </w:pPr>
            <w:r w:rsidRPr="001F6450">
              <w:t xml:space="preserve">Business process capital; </w:t>
            </w:r>
          </w:p>
          <w:p w14:paraId="2FF6AF46" w14:textId="77777777" w:rsidR="0049324F" w:rsidRPr="001F6450" w:rsidRDefault="0049324F" w:rsidP="0049324F">
            <w:pPr>
              <w:pStyle w:val="BodyTextIndent"/>
              <w:ind w:firstLine="0"/>
              <w:jc w:val="center"/>
            </w:pPr>
            <w:r w:rsidRPr="001F6450">
              <w:t xml:space="preserve">Business renewal and development capital </w:t>
            </w:r>
          </w:p>
        </w:tc>
        <w:tc>
          <w:tcPr>
            <w:tcW w:w="0" w:type="auto"/>
            <w:vMerge w:val="restart"/>
            <w:tcMar>
              <w:top w:w="29" w:type="dxa"/>
              <w:left w:w="29" w:type="dxa"/>
              <w:bottom w:w="58" w:type="dxa"/>
              <w:right w:w="29" w:type="dxa"/>
            </w:tcMar>
            <w:vAlign w:val="center"/>
          </w:tcPr>
          <w:p w14:paraId="25AEDA3C" w14:textId="77777777" w:rsidR="0049324F" w:rsidRDefault="0049324F" w:rsidP="0049324F">
            <w:pPr>
              <w:pStyle w:val="BodyTextIndent"/>
              <w:ind w:firstLine="0"/>
              <w:jc w:val="center"/>
            </w:pPr>
            <w:r>
              <w:t>Structural</w:t>
            </w:r>
          </w:p>
          <w:p w14:paraId="3FF7066A" w14:textId="77777777" w:rsidR="0049324F" w:rsidRPr="001F6450" w:rsidRDefault="0049324F" w:rsidP="0049324F">
            <w:pPr>
              <w:pStyle w:val="BodyTextIndent"/>
              <w:ind w:firstLine="0"/>
              <w:jc w:val="center"/>
            </w:pPr>
            <w:r w:rsidRPr="001F6450">
              <w:t>capital</w:t>
            </w:r>
          </w:p>
        </w:tc>
        <w:tc>
          <w:tcPr>
            <w:tcW w:w="0" w:type="auto"/>
            <w:vMerge w:val="restart"/>
            <w:tcMar>
              <w:top w:w="29" w:type="dxa"/>
              <w:left w:w="29" w:type="dxa"/>
              <w:bottom w:w="58" w:type="dxa"/>
              <w:right w:w="29" w:type="dxa"/>
            </w:tcMar>
            <w:vAlign w:val="center"/>
          </w:tcPr>
          <w:p w14:paraId="02BDE974" w14:textId="77777777" w:rsidR="0049324F" w:rsidRDefault="0049324F" w:rsidP="0049324F">
            <w:pPr>
              <w:pStyle w:val="BodyTextIndent"/>
              <w:ind w:firstLine="0"/>
              <w:jc w:val="center"/>
            </w:pPr>
            <w:r>
              <w:t>Internal</w:t>
            </w:r>
          </w:p>
          <w:p w14:paraId="4AB1AB8E" w14:textId="77777777" w:rsidR="0049324F" w:rsidRPr="001F6450" w:rsidRDefault="0049324F" w:rsidP="0049324F">
            <w:pPr>
              <w:pStyle w:val="BodyTextIndent"/>
              <w:ind w:firstLine="0"/>
              <w:jc w:val="center"/>
            </w:pPr>
            <w:r>
              <w:t>structure</w:t>
            </w:r>
          </w:p>
        </w:tc>
      </w:tr>
      <w:tr w:rsidR="0049324F" w:rsidRPr="003D2BFF" w14:paraId="6708DCB1" w14:textId="77777777" w:rsidTr="0049324F">
        <w:trPr>
          <w:trHeight w:val="346"/>
        </w:trPr>
        <w:tc>
          <w:tcPr>
            <w:tcW w:w="0" w:type="auto"/>
            <w:tcMar>
              <w:top w:w="29" w:type="dxa"/>
              <w:left w:w="29" w:type="dxa"/>
              <w:bottom w:w="58" w:type="dxa"/>
              <w:right w:w="29" w:type="dxa"/>
            </w:tcMar>
            <w:vAlign w:val="center"/>
          </w:tcPr>
          <w:p w14:paraId="6EBFABE8" w14:textId="77777777" w:rsidR="0049324F" w:rsidRPr="001F6450" w:rsidRDefault="0049324F" w:rsidP="0049324F">
            <w:pPr>
              <w:pStyle w:val="BodyTextIndent"/>
              <w:ind w:firstLine="0"/>
              <w:jc w:val="center"/>
            </w:pPr>
            <w:r w:rsidRPr="001F6450">
              <w:t>Intellectual property assets</w:t>
            </w:r>
          </w:p>
        </w:tc>
        <w:tc>
          <w:tcPr>
            <w:tcW w:w="0" w:type="auto"/>
            <w:vMerge/>
            <w:tcMar>
              <w:top w:w="29" w:type="dxa"/>
              <w:left w:w="29" w:type="dxa"/>
              <w:bottom w:w="58" w:type="dxa"/>
              <w:right w:w="29" w:type="dxa"/>
            </w:tcMar>
            <w:vAlign w:val="center"/>
          </w:tcPr>
          <w:p w14:paraId="4A32D03A" w14:textId="77777777" w:rsidR="0049324F" w:rsidRPr="001F6450" w:rsidRDefault="0049324F" w:rsidP="0049324F">
            <w:pPr>
              <w:pStyle w:val="BodyTextIndent"/>
              <w:ind w:firstLine="0"/>
              <w:jc w:val="center"/>
            </w:pPr>
          </w:p>
        </w:tc>
        <w:tc>
          <w:tcPr>
            <w:tcW w:w="0" w:type="auto"/>
            <w:vMerge/>
            <w:tcMar>
              <w:top w:w="29" w:type="dxa"/>
              <w:left w:w="29" w:type="dxa"/>
              <w:bottom w:w="58" w:type="dxa"/>
              <w:right w:w="29" w:type="dxa"/>
            </w:tcMar>
            <w:vAlign w:val="center"/>
          </w:tcPr>
          <w:p w14:paraId="1A6B1F1C" w14:textId="77777777" w:rsidR="0049324F" w:rsidRPr="001F6450" w:rsidRDefault="0049324F" w:rsidP="0049324F">
            <w:pPr>
              <w:pStyle w:val="BodyTextIndent"/>
              <w:ind w:firstLine="0"/>
              <w:jc w:val="center"/>
            </w:pPr>
          </w:p>
        </w:tc>
        <w:tc>
          <w:tcPr>
            <w:tcW w:w="0" w:type="auto"/>
            <w:vMerge/>
            <w:tcMar>
              <w:top w:w="29" w:type="dxa"/>
              <w:left w:w="29" w:type="dxa"/>
              <w:bottom w:w="58" w:type="dxa"/>
              <w:right w:w="29" w:type="dxa"/>
            </w:tcMar>
            <w:vAlign w:val="center"/>
          </w:tcPr>
          <w:p w14:paraId="1A952714" w14:textId="77777777" w:rsidR="0049324F" w:rsidRPr="001F6450" w:rsidRDefault="0049324F" w:rsidP="0049324F">
            <w:pPr>
              <w:pStyle w:val="BodyTextIndent"/>
              <w:ind w:firstLine="0"/>
              <w:jc w:val="center"/>
            </w:pPr>
          </w:p>
        </w:tc>
      </w:tr>
      <w:tr w:rsidR="0049324F" w:rsidRPr="003D2BFF" w14:paraId="79AFF7BE" w14:textId="77777777" w:rsidTr="0049324F">
        <w:trPr>
          <w:trHeight w:val="346"/>
        </w:trPr>
        <w:tc>
          <w:tcPr>
            <w:tcW w:w="0" w:type="auto"/>
            <w:tcMar>
              <w:top w:w="29" w:type="dxa"/>
              <w:left w:w="29" w:type="dxa"/>
              <w:bottom w:w="58" w:type="dxa"/>
              <w:right w:w="29" w:type="dxa"/>
            </w:tcMar>
            <w:vAlign w:val="center"/>
          </w:tcPr>
          <w:p w14:paraId="5A075581" w14:textId="77777777" w:rsidR="0049324F" w:rsidRDefault="0049324F" w:rsidP="0049324F">
            <w:pPr>
              <w:pStyle w:val="BodyTextIndent"/>
              <w:ind w:firstLine="0"/>
              <w:jc w:val="center"/>
            </w:pPr>
            <w:r w:rsidRPr="001F6450">
              <w:t xml:space="preserve">Human </w:t>
            </w:r>
          </w:p>
          <w:p w14:paraId="66682295" w14:textId="77777777" w:rsidR="0049324F" w:rsidRPr="001F6450" w:rsidRDefault="0049324F" w:rsidP="0049324F">
            <w:pPr>
              <w:pStyle w:val="BodyTextIndent"/>
              <w:ind w:firstLine="0"/>
              <w:jc w:val="center"/>
            </w:pPr>
            <w:proofErr w:type="spellStart"/>
            <w:r w:rsidRPr="001F6450">
              <w:t>centred</w:t>
            </w:r>
            <w:proofErr w:type="spellEnd"/>
            <w:r w:rsidRPr="001F6450">
              <w:t xml:space="preserve"> assets</w:t>
            </w:r>
          </w:p>
        </w:tc>
        <w:tc>
          <w:tcPr>
            <w:tcW w:w="0" w:type="auto"/>
            <w:tcMar>
              <w:top w:w="29" w:type="dxa"/>
              <w:left w:w="29" w:type="dxa"/>
              <w:bottom w:w="58" w:type="dxa"/>
              <w:right w:w="29" w:type="dxa"/>
            </w:tcMar>
            <w:vAlign w:val="center"/>
          </w:tcPr>
          <w:p w14:paraId="44039D79" w14:textId="77777777" w:rsidR="0049324F" w:rsidRPr="001F6450" w:rsidRDefault="0049324F" w:rsidP="0049324F">
            <w:pPr>
              <w:pStyle w:val="BodyTextIndent"/>
              <w:ind w:firstLine="0"/>
              <w:jc w:val="center"/>
            </w:pPr>
            <w:r w:rsidRPr="001F6450">
              <w:t>Human</w:t>
            </w:r>
          </w:p>
          <w:p w14:paraId="59BD01A6" w14:textId="77777777" w:rsidR="0049324F" w:rsidRPr="001F6450" w:rsidRDefault="0049324F" w:rsidP="0049324F">
            <w:pPr>
              <w:pStyle w:val="BodyTextIndent"/>
              <w:ind w:firstLine="0"/>
              <w:jc w:val="center"/>
            </w:pPr>
            <w:r w:rsidRPr="001F6450">
              <w:t>capital</w:t>
            </w:r>
          </w:p>
        </w:tc>
        <w:tc>
          <w:tcPr>
            <w:tcW w:w="0" w:type="auto"/>
            <w:tcMar>
              <w:top w:w="29" w:type="dxa"/>
              <w:left w:w="29" w:type="dxa"/>
              <w:bottom w:w="58" w:type="dxa"/>
              <w:right w:w="29" w:type="dxa"/>
            </w:tcMar>
            <w:vAlign w:val="center"/>
          </w:tcPr>
          <w:p w14:paraId="42F51D37" w14:textId="77777777" w:rsidR="0049324F" w:rsidRPr="001F6450" w:rsidRDefault="0049324F" w:rsidP="0049324F">
            <w:pPr>
              <w:pStyle w:val="BodyTextIndent"/>
              <w:ind w:firstLine="0"/>
              <w:jc w:val="center"/>
            </w:pPr>
            <w:r w:rsidRPr="001F6450">
              <w:t>Human capital</w:t>
            </w:r>
          </w:p>
        </w:tc>
        <w:tc>
          <w:tcPr>
            <w:tcW w:w="0" w:type="auto"/>
            <w:tcMar>
              <w:top w:w="29" w:type="dxa"/>
              <w:left w:w="29" w:type="dxa"/>
              <w:bottom w:w="58" w:type="dxa"/>
              <w:right w:w="29" w:type="dxa"/>
            </w:tcMar>
            <w:vAlign w:val="center"/>
          </w:tcPr>
          <w:p w14:paraId="506E8DA3" w14:textId="77777777" w:rsidR="0049324F" w:rsidRDefault="0049324F" w:rsidP="0049324F">
            <w:pPr>
              <w:pStyle w:val="BodyTextIndent"/>
              <w:ind w:firstLine="0"/>
              <w:jc w:val="center"/>
            </w:pPr>
            <w:r>
              <w:t>Employee</w:t>
            </w:r>
          </w:p>
          <w:p w14:paraId="3C3C8B12" w14:textId="77777777" w:rsidR="0049324F" w:rsidRPr="001F6450" w:rsidRDefault="0049324F" w:rsidP="0049324F">
            <w:pPr>
              <w:pStyle w:val="BodyTextIndent"/>
              <w:ind w:firstLine="0"/>
              <w:jc w:val="center"/>
            </w:pPr>
            <w:r>
              <w:t>competence</w:t>
            </w:r>
          </w:p>
        </w:tc>
      </w:tr>
    </w:tbl>
    <w:p w14:paraId="261A2FAA" w14:textId="5A4DB052" w:rsidR="00AD29C7" w:rsidRDefault="003636F2" w:rsidP="007F5665">
      <w:pPr>
        <w:widowControl w:val="0"/>
        <w:autoSpaceDE w:val="0"/>
        <w:autoSpaceDN w:val="0"/>
        <w:adjustRightInd w:val="0"/>
        <w:spacing w:before="120"/>
      </w:pPr>
      <w:r w:rsidRPr="003636F2">
        <w:t xml:space="preserve">The examples illustrated confirm the basic tripartite model described by OECD (2006) of human, organizational (or structural), and relational (or customer/market) capital, but with an element of divergence in the subdivision of structural/organizational capital in two cases into its </w:t>
      </w:r>
      <w:r w:rsidRPr="003636F2">
        <w:rPr>
          <w:i/>
        </w:rPr>
        <w:t>process</w:t>
      </w:r>
      <w:r w:rsidRPr="003636F2">
        <w:t xml:space="preserve"> and </w:t>
      </w:r>
      <w:r w:rsidRPr="003636F2">
        <w:rPr>
          <w:i/>
        </w:rPr>
        <w:t>product</w:t>
      </w:r>
      <w:r w:rsidRPr="003636F2">
        <w:t xml:space="preserve"> dimensions, in effect acknowledging the OECD (2006) distinction between valuable assets and their value drivers. There have also been significant developments in thinking around the relational component of IC, with scholars arguing for broader and more nuanced interpretations incorporating </w:t>
      </w:r>
      <w:r w:rsidRPr="003636F2">
        <w:rPr>
          <w:i/>
        </w:rPr>
        <w:t>social capital</w:t>
      </w:r>
      <w:r w:rsidRPr="003636F2">
        <w:t>, reflecting renewed interest in the concept from the 1990s, in the context of economic development, corporate responsibility, and civic engagement (</w:t>
      </w:r>
      <w:proofErr w:type="spellStart"/>
      <w:r w:rsidRPr="003636F2">
        <w:t>Bueno</w:t>
      </w:r>
      <w:proofErr w:type="spellEnd"/>
      <w:r w:rsidRPr="003636F2">
        <w:t xml:space="preserve">, </w:t>
      </w:r>
      <w:proofErr w:type="spellStart"/>
      <w:r w:rsidRPr="003636F2">
        <w:t>Salmador</w:t>
      </w:r>
      <w:proofErr w:type="spellEnd"/>
      <w:r w:rsidRPr="003636F2">
        <w:t xml:space="preserve"> &amp; Rodríguez, 2004; Putnam, 1995). </w:t>
      </w:r>
    </w:p>
    <w:p w14:paraId="30F1529B" w14:textId="7733ACF0" w:rsidR="00FB4C48" w:rsidRPr="00231B16" w:rsidRDefault="00CF3C5B" w:rsidP="00231B16">
      <w:pPr>
        <w:widowControl w:val="0"/>
        <w:autoSpaceDE w:val="0"/>
        <w:autoSpaceDN w:val="0"/>
        <w:adjustRightInd w:val="0"/>
        <w:spacing w:before="40" w:after="0"/>
        <w:ind w:firstLine="0"/>
        <w:rPr>
          <w:i/>
          <w:color w:val="000000"/>
        </w:rPr>
      </w:pPr>
      <w:r>
        <w:rPr>
          <w:i/>
          <w:color w:val="000000"/>
        </w:rPr>
        <w:t>Evaluation of Intangible A</w:t>
      </w:r>
      <w:r w:rsidR="00231B16" w:rsidRPr="00231B16">
        <w:rPr>
          <w:i/>
          <w:color w:val="000000"/>
        </w:rPr>
        <w:t>ssets</w:t>
      </w:r>
    </w:p>
    <w:p w14:paraId="209E416C" w14:textId="77777777" w:rsidR="006261E7" w:rsidRDefault="000C6427" w:rsidP="006261E7">
      <w:pPr>
        <w:widowControl w:val="0"/>
        <w:autoSpaceDE w:val="0"/>
        <w:autoSpaceDN w:val="0"/>
        <w:adjustRightInd w:val="0"/>
        <w:rPr>
          <w:color w:val="000000"/>
        </w:rPr>
      </w:pPr>
      <w:r w:rsidRPr="00904B2C">
        <w:rPr>
          <w:color w:val="000000"/>
        </w:rPr>
        <w:t xml:space="preserve">There is similar proliferation in the methods proposed for measuring and reporting IAs, but again some convergence, in that “Most reporting frameworks developed to date </w:t>
      </w:r>
      <w:proofErr w:type="spellStart"/>
      <w:r w:rsidRPr="00904B2C">
        <w:rPr>
          <w:color w:val="000000"/>
        </w:rPr>
        <w:t>favour</w:t>
      </w:r>
      <w:proofErr w:type="spellEnd"/>
      <w:r w:rsidRPr="00904B2C">
        <w:rPr>
          <w:color w:val="000000"/>
        </w:rPr>
        <w:t xml:space="preserve"> a qualitative approach where intangibles are reported in a narrative format, to complement financial reporting” (OECD, 2012, p. 7). </w:t>
      </w:r>
      <w:r w:rsidR="00A64BE2">
        <w:rPr>
          <w:color w:val="000000"/>
        </w:rPr>
        <w:t>The</w:t>
      </w:r>
      <w:r w:rsidR="00B46F93">
        <w:rPr>
          <w:color w:val="000000"/>
        </w:rPr>
        <w:t xml:space="preserve"> key point here is that IAs are </w:t>
      </w:r>
      <w:r w:rsidR="00B46F93">
        <w:rPr>
          <w:i/>
          <w:color w:val="000000"/>
        </w:rPr>
        <w:t>strategic resources</w:t>
      </w:r>
      <w:r w:rsidR="002E6B5B">
        <w:rPr>
          <w:i/>
          <w:color w:val="000000"/>
        </w:rPr>
        <w:t>,</w:t>
      </w:r>
      <w:r w:rsidR="002E6B5B">
        <w:rPr>
          <w:color w:val="000000"/>
        </w:rPr>
        <w:t xml:space="preserve"> so</w:t>
      </w:r>
      <w:r w:rsidR="00A64BE2">
        <w:rPr>
          <w:color w:val="000000"/>
        </w:rPr>
        <w:t xml:space="preserve"> </w:t>
      </w:r>
      <w:r w:rsidR="000B435E">
        <w:rPr>
          <w:color w:val="000000"/>
        </w:rPr>
        <w:t>evaluation</w:t>
      </w:r>
      <w:r w:rsidR="00073C26">
        <w:rPr>
          <w:color w:val="000000"/>
        </w:rPr>
        <w:t xml:space="preserve"> must be </w:t>
      </w:r>
      <w:r w:rsidR="00A82939">
        <w:rPr>
          <w:color w:val="000000"/>
        </w:rPr>
        <w:t xml:space="preserve">directly </w:t>
      </w:r>
      <w:r w:rsidR="006F4E4A">
        <w:rPr>
          <w:color w:val="000000"/>
        </w:rPr>
        <w:t xml:space="preserve">linked to </w:t>
      </w:r>
      <w:r w:rsidR="00A82939">
        <w:rPr>
          <w:color w:val="000000"/>
        </w:rPr>
        <w:t xml:space="preserve">the </w:t>
      </w:r>
      <w:r w:rsidR="00D737F3">
        <w:rPr>
          <w:color w:val="000000"/>
        </w:rPr>
        <w:t>strategic objectives</w:t>
      </w:r>
      <w:r w:rsidR="00A82939">
        <w:rPr>
          <w:color w:val="000000"/>
        </w:rPr>
        <w:t xml:space="preserve"> of the organizati</w:t>
      </w:r>
      <w:r w:rsidR="00AC225A">
        <w:rPr>
          <w:color w:val="000000"/>
        </w:rPr>
        <w:t xml:space="preserve">on, as explained by </w:t>
      </w:r>
      <w:proofErr w:type="spellStart"/>
      <w:r w:rsidR="00AC225A">
        <w:rPr>
          <w:color w:val="000000"/>
        </w:rPr>
        <w:t>Roos</w:t>
      </w:r>
      <w:proofErr w:type="spellEnd"/>
      <w:r w:rsidR="00AC225A">
        <w:rPr>
          <w:color w:val="000000"/>
        </w:rPr>
        <w:t xml:space="preserve"> et al. (1997, p. vi):</w:t>
      </w:r>
      <w:r w:rsidR="002E6B5B">
        <w:rPr>
          <w:color w:val="000000"/>
        </w:rPr>
        <w:t xml:space="preserve"> </w:t>
      </w:r>
    </w:p>
    <w:p w14:paraId="206144C1" w14:textId="7240A146" w:rsidR="000B435E" w:rsidRDefault="000B435E" w:rsidP="004A6107">
      <w:pPr>
        <w:widowControl w:val="0"/>
        <w:autoSpaceDE w:val="0"/>
        <w:autoSpaceDN w:val="0"/>
        <w:adjustRightInd w:val="0"/>
        <w:ind w:left="144" w:right="144" w:firstLine="0"/>
        <w:rPr>
          <w:i/>
          <w:color w:val="000000"/>
        </w:rPr>
      </w:pPr>
      <w:r>
        <w:rPr>
          <w:rFonts w:eastAsiaTheme="minorHAnsi"/>
        </w:rPr>
        <w:t>“</w:t>
      </w:r>
      <w:r w:rsidRPr="0008580A">
        <w:rPr>
          <w:rFonts w:eastAsiaTheme="minorHAnsi"/>
        </w:rPr>
        <w:t>A comprehensive system of capturing and measuring intellectual capital must be deeply rooted in the strategy  or the mission of the company. Strategy has to guide the search for the appropriate indicators simply because it is the goals and direction of the company set out in the strategy, that signify which intellectual capital forms are important</w:t>
      </w:r>
      <w:r w:rsidR="00AC225A">
        <w:rPr>
          <w:rFonts w:eastAsiaTheme="minorHAnsi"/>
        </w:rPr>
        <w:t>”.</w:t>
      </w:r>
    </w:p>
    <w:p w14:paraId="61DCEDBB" w14:textId="77777777" w:rsidR="008A06EA" w:rsidRDefault="000C6427" w:rsidP="008A06EA">
      <w:pPr>
        <w:widowControl w:val="0"/>
        <w:autoSpaceDE w:val="0"/>
        <w:autoSpaceDN w:val="0"/>
        <w:adjustRightInd w:val="0"/>
        <w:rPr>
          <w:color w:val="000000"/>
        </w:rPr>
      </w:pPr>
      <w:r w:rsidRPr="00904B2C">
        <w:rPr>
          <w:color w:val="000000"/>
        </w:rPr>
        <w:t xml:space="preserve">OECD (2012, pp. 25-28) lists 39 different approaches developed between 1989 and 2009, but notes that despite “active interest” in evaluating intangibles, only five of the 34 member countries have introduced national recommendations or guidelines for reporting, with limited adoption of intangible asset disclosure frameworks by companies. The various methods have been broadly categorized as direct (monetary) valuation, market capitalization, return-on-assets, and scorecards (OECD, 2012; </w:t>
      </w:r>
      <w:r w:rsidR="00FB6119" w:rsidRPr="00904B2C">
        <w:rPr>
          <w:color w:val="000000"/>
        </w:rPr>
        <w:t>Tan, Plowman &amp; Hancock, 2008</w:t>
      </w:r>
      <w:r w:rsidRPr="00904B2C">
        <w:rPr>
          <w:color w:val="000000"/>
        </w:rPr>
        <w:t>).</w:t>
      </w:r>
    </w:p>
    <w:p w14:paraId="7D343848" w14:textId="6CD91F4D" w:rsidR="000F57BA" w:rsidRDefault="000C6427" w:rsidP="00A87BEE">
      <w:pPr>
        <w:widowControl w:val="0"/>
        <w:autoSpaceDE w:val="0"/>
        <w:autoSpaceDN w:val="0"/>
        <w:adjustRightInd w:val="0"/>
        <w:spacing w:after="120"/>
        <w:rPr>
          <w:color w:val="000000"/>
        </w:rPr>
      </w:pPr>
      <w:r w:rsidRPr="00904B2C">
        <w:rPr>
          <w:color w:val="000000"/>
        </w:rPr>
        <w:t xml:space="preserve"> Despite continuing research and development in the field, the four best known measurement models all come from the late 1990s: Brooking’s (1996) Technology Broker IC Audit, </w:t>
      </w:r>
      <w:proofErr w:type="spellStart"/>
      <w:r w:rsidRPr="00904B2C">
        <w:rPr>
          <w:color w:val="000000"/>
        </w:rPr>
        <w:t>Edvinsson’s</w:t>
      </w:r>
      <w:proofErr w:type="spellEnd"/>
      <w:r w:rsidRPr="00904B2C">
        <w:rPr>
          <w:color w:val="000000"/>
        </w:rPr>
        <w:t xml:space="preserve"> (1997) Skandia Navigator, </w:t>
      </w:r>
      <w:proofErr w:type="spellStart"/>
      <w:r w:rsidRPr="00904B2C">
        <w:rPr>
          <w:color w:val="000000"/>
        </w:rPr>
        <w:t>Roos</w:t>
      </w:r>
      <w:proofErr w:type="spellEnd"/>
      <w:r w:rsidRPr="00904B2C">
        <w:rPr>
          <w:color w:val="000000"/>
        </w:rPr>
        <w:t xml:space="preserve"> et al.’s (1997) IC-Index, and </w:t>
      </w:r>
      <w:proofErr w:type="spellStart"/>
      <w:r w:rsidRPr="00904B2C">
        <w:rPr>
          <w:color w:val="000000"/>
        </w:rPr>
        <w:t>Sveiby’s</w:t>
      </w:r>
      <w:proofErr w:type="spellEnd"/>
      <w:r w:rsidRPr="00904B2C">
        <w:rPr>
          <w:color w:val="000000"/>
        </w:rPr>
        <w:t xml:space="preserve"> (1997) Intangible Assets Monitor (IAM), with the Skandia Navigator and IAM the most prominent examples (Pierce &amp; Snyder, 2003; Tan</w:t>
      </w:r>
      <w:r w:rsidR="008A06EA">
        <w:rPr>
          <w:color w:val="000000"/>
        </w:rPr>
        <w:t xml:space="preserve"> et al.</w:t>
      </w:r>
      <w:r w:rsidRPr="00904B2C">
        <w:rPr>
          <w:color w:val="000000"/>
        </w:rPr>
        <w:t>, 2008).</w:t>
      </w:r>
      <w:r w:rsidR="009623DC">
        <w:rPr>
          <w:color w:val="000000"/>
        </w:rPr>
        <w:t xml:space="preserve"> </w:t>
      </w:r>
      <w:r w:rsidR="00866686">
        <w:rPr>
          <w:color w:val="000000"/>
        </w:rPr>
        <w:t xml:space="preserve">The IAM </w:t>
      </w:r>
      <w:r w:rsidR="006D0BDE" w:rsidRPr="0091747C">
        <w:rPr>
          <w:color w:val="000000"/>
        </w:rPr>
        <w:t>has similarities with the Balanced Scorecard in its strategic focus and advice on limiting the number of indicators</w:t>
      </w:r>
      <w:r w:rsidR="003323AF">
        <w:rPr>
          <w:color w:val="000000"/>
        </w:rPr>
        <w:t xml:space="preserve"> selected to a manageable </w:t>
      </w:r>
      <w:r w:rsidR="00A840F1">
        <w:rPr>
          <w:color w:val="000000"/>
        </w:rPr>
        <w:t>quantity</w:t>
      </w:r>
      <w:r w:rsidR="003323AF">
        <w:rPr>
          <w:color w:val="000000"/>
        </w:rPr>
        <w:t xml:space="preserve"> – </w:t>
      </w:r>
      <w:r w:rsidR="00A840F1">
        <w:rPr>
          <w:color w:val="000000"/>
        </w:rPr>
        <w:t>“</w:t>
      </w:r>
      <w:r w:rsidR="007A3FD0">
        <w:rPr>
          <w:color w:val="000000"/>
        </w:rPr>
        <w:t xml:space="preserve">one or </w:t>
      </w:r>
      <w:r w:rsidR="00A840F1">
        <w:rPr>
          <w:color w:val="000000"/>
        </w:rPr>
        <w:t xml:space="preserve">at most </w:t>
      </w:r>
      <w:r w:rsidR="007A3FD0">
        <w:rPr>
          <w:color w:val="000000"/>
        </w:rPr>
        <w:t>two indicators</w:t>
      </w:r>
      <w:r w:rsidR="00A840F1">
        <w:rPr>
          <w:color w:val="000000"/>
        </w:rPr>
        <w:t>”</w:t>
      </w:r>
      <w:r w:rsidR="007A3FD0">
        <w:rPr>
          <w:color w:val="000000"/>
        </w:rPr>
        <w:t xml:space="preserve"> </w:t>
      </w:r>
      <w:r w:rsidR="003323AF">
        <w:rPr>
          <w:color w:val="000000"/>
        </w:rPr>
        <w:t>for each of the nine</w:t>
      </w:r>
      <w:r w:rsidR="007A3FD0">
        <w:rPr>
          <w:color w:val="000000"/>
        </w:rPr>
        <w:t xml:space="preserve"> subheading</w:t>
      </w:r>
      <w:r w:rsidR="003323AF">
        <w:rPr>
          <w:color w:val="000000"/>
        </w:rPr>
        <w:t>s/cells</w:t>
      </w:r>
      <w:r w:rsidR="00C05D38">
        <w:rPr>
          <w:color w:val="000000"/>
        </w:rPr>
        <w:t xml:space="preserve"> (</w:t>
      </w:r>
      <w:proofErr w:type="spellStart"/>
      <w:r w:rsidR="00C05D38">
        <w:rPr>
          <w:color w:val="000000"/>
        </w:rPr>
        <w:t>Sveiby</w:t>
      </w:r>
      <w:proofErr w:type="spellEnd"/>
      <w:r w:rsidR="00C05D38">
        <w:rPr>
          <w:color w:val="000000"/>
        </w:rPr>
        <w:t>, 1997, p. 78)</w:t>
      </w:r>
      <w:r w:rsidR="003323AF">
        <w:rPr>
          <w:color w:val="000000"/>
        </w:rPr>
        <w:t>.</w:t>
      </w:r>
      <w:r w:rsidR="006D0BDE" w:rsidRPr="0091747C">
        <w:rPr>
          <w:color w:val="000000"/>
        </w:rPr>
        <w:t xml:space="preserve"> </w:t>
      </w:r>
      <w:r w:rsidR="00623FDE">
        <w:rPr>
          <w:color w:val="000000"/>
        </w:rPr>
        <w:t>Table 2</w:t>
      </w:r>
      <w:r w:rsidR="006D0BDE" w:rsidRPr="0091747C">
        <w:rPr>
          <w:color w:val="000000"/>
        </w:rPr>
        <w:t xml:space="preserve"> shows the </w:t>
      </w:r>
      <w:r w:rsidR="00E50C49">
        <w:rPr>
          <w:color w:val="000000"/>
        </w:rPr>
        <w:t xml:space="preserve">basic </w:t>
      </w:r>
      <w:r w:rsidR="006D0BDE" w:rsidRPr="0091747C">
        <w:rPr>
          <w:color w:val="000000"/>
        </w:rPr>
        <w:t>model</w:t>
      </w:r>
      <w:r w:rsidR="000F57BA">
        <w:rPr>
          <w:color w:val="000000"/>
        </w:rPr>
        <w:t>.</w:t>
      </w:r>
    </w:p>
    <w:p w14:paraId="0CBF3F10" w14:textId="77777777" w:rsidR="00594088" w:rsidRPr="00E50C49" w:rsidRDefault="00594088" w:rsidP="00594088">
      <w:pPr>
        <w:widowControl w:val="0"/>
        <w:autoSpaceDE w:val="0"/>
        <w:autoSpaceDN w:val="0"/>
        <w:adjustRightInd w:val="0"/>
        <w:jc w:val="center"/>
      </w:pPr>
      <w:r>
        <w:t>Table 2</w:t>
      </w:r>
      <w:r w:rsidRPr="00D77928">
        <w:t>. The Intangible Assets Monitor (</w:t>
      </w:r>
      <w:proofErr w:type="spellStart"/>
      <w:r w:rsidRPr="00D77928">
        <w:t>Sveiby</w:t>
      </w:r>
      <w:proofErr w:type="spellEnd"/>
      <w:r w:rsidRPr="00D77928">
        <w:t>, 1997)</w:t>
      </w:r>
    </w:p>
    <w:tbl>
      <w:tblPr>
        <w:tblStyle w:val="TableGrid"/>
        <w:tblW w:w="0" w:type="auto"/>
        <w:tblCellMar>
          <w:top w:w="29" w:type="dxa"/>
          <w:left w:w="115" w:type="dxa"/>
          <w:bottom w:w="58" w:type="dxa"/>
          <w:right w:w="115" w:type="dxa"/>
        </w:tblCellMar>
        <w:tblLook w:val="04A0" w:firstRow="1" w:lastRow="0" w:firstColumn="1" w:lastColumn="0" w:noHBand="0" w:noVBand="1"/>
      </w:tblPr>
      <w:tblGrid>
        <w:gridCol w:w="1560"/>
        <w:gridCol w:w="1560"/>
        <w:gridCol w:w="1560"/>
      </w:tblGrid>
      <w:tr w:rsidR="00A87BEE" w:rsidRPr="00D61E4A" w14:paraId="48629334" w14:textId="77777777" w:rsidTr="00A87BEE">
        <w:tc>
          <w:tcPr>
            <w:tcW w:w="0" w:type="auto"/>
            <w:gridSpan w:val="3"/>
            <w:tcBorders>
              <w:right w:val="single" w:sz="2" w:space="0" w:color="auto"/>
            </w:tcBorders>
            <w:tcMar>
              <w:top w:w="29" w:type="dxa"/>
              <w:left w:w="29" w:type="dxa"/>
              <w:bottom w:w="58" w:type="dxa"/>
              <w:right w:w="29" w:type="dxa"/>
            </w:tcMar>
          </w:tcPr>
          <w:p w14:paraId="2E4C83A1" w14:textId="414957CB" w:rsidR="00A87BEE" w:rsidRPr="00D61E4A" w:rsidRDefault="00A87BEE" w:rsidP="00594088">
            <w:pPr>
              <w:spacing w:after="0"/>
              <w:jc w:val="center"/>
              <w:rPr>
                <w:b/>
              </w:rPr>
            </w:pPr>
            <w:r>
              <w:rPr>
                <w:b/>
              </w:rPr>
              <w:t>Intangible Assets Monitor</w:t>
            </w:r>
          </w:p>
        </w:tc>
      </w:tr>
      <w:tr w:rsidR="00594088" w:rsidRPr="00D61E4A" w14:paraId="29F83735" w14:textId="77777777" w:rsidTr="00594088">
        <w:tc>
          <w:tcPr>
            <w:tcW w:w="0" w:type="auto"/>
            <w:tcBorders>
              <w:right w:val="single" w:sz="2" w:space="0" w:color="auto"/>
            </w:tcBorders>
            <w:tcMar>
              <w:top w:w="29" w:type="dxa"/>
              <w:left w:w="29" w:type="dxa"/>
              <w:bottom w:w="58" w:type="dxa"/>
              <w:right w:w="29" w:type="dxa"/>
            </w:tcMar>
          </w:tcPr>
          <w:p w14:paraId="5167CABF" w14:textId="77777777" w:rsidR="00594088" w:rsidRPr="00D61E4A" w:rsidRDefault="00594088" w:rsidP="00594088">
            <w:pPr>
              <w:spacing w:after="0"/>
              <w:jc w:val="center"/>
              <w:rPr>
                <w:b/>
              </w:rPr>
            </w:pPr>
            <w:r w:rsidRPr="00D61E4A">
              <w:rPr>
                <w:b/>
              </w:rPr>
              <w:t>External Structure</w:t>
            </w:r>
          </w:p>
        </w:tc>
        <w:tc>
          <w:tcPr>
            <w:tcW w:w="0" w:type="auto"/>
            <w:tcBorders>
              <w:top w:val="single" w:sz="2" w:space="0" w:color="auto"/>
              <w:left w:val="single" w:sz="2" w:space="0" w:color="auto"/>
              <w:bottom w:val="single" w:sz="2" w:space="0" w:color="auto"/>
              <w:right w:val="single" w:sz="2" w:space="0" w:color="auto"/>
            </w:tcBorders>
            <w:tcMar>
              <w:top w:w="29" w:type="dxa"/>
              <w:left w:w="29" w:type="dxa"/>
              <w:bottom w:w="58" w:type="dxa"/>
              <w:right w:w="29" w:type="dxa"/>
            </w:tcMar>
          </w:tcPr>
          <w:p w14:paraId="15D9EE8F" w14:textId="77777777" w:rsidR="00594088" w:rsidRPr="00D61E4A" w:rsidRDefault="00594088" w:rsidP="00594088">
            <w:pPr>
              <w:spacing w:after="0"/>
              <w:jc w:val="center"/>
              <w:rPr>
                <w:b/>
              </w:rPr>
            </w:pPr>
            <w:r w:rsidRPr="00D61E4A">
              <w:rPr>
                <w:b/>
              </w:rPr>
              <w:t>Internal Structure</w:t>
            </w:r>
          </w:p>
        </w:tc>
        <w:tc>
          <w:tcPr>
            <w:tcW w:w="0" w:type="auto"/>
            <w:tcBorders>
              <w:top w:val="single" w:sz="2" w:space="0" w:color="auto"/>
              <w:left w:val="single" w:sz="2" w:space="0" w:color="auto"/>
              <w:bottom w:val="single" w:sz="2" w:space="0" w:color="auto"/>
              <w:right w:val="single" w:sz="2" w:space="0" w:color="auto"/>
            </w:tcBorders>
            <w:tcMar>
              <w:top w:w="29" w:type="dxa"/>
              <w:left w:w="29" w:type="dxa"/>
              <w:bottom w:w="58" w:type="dxa"/>
              <w:right w:w="29" w:type="dxa"/>
            </w:tcMar>
          </w:tcPr>
          <w:p w14:paraId="64A1B060" w14:textId="77777777" w:rsidR="00594088" w:rsidRPr="00D61E4A" w:rsidRDefault="00594088" w:rsidP="00594088">
            <w:pPr>
              <w:spacing w:after="0"/>
              <w:jc w:val="center"/>
              <w:rPr>
                <w:b/>
              </w:rPr>
            </w:pPr>
            <w:r w:rsidRPr="00D61E4A">
              <w:rPr>
                <w:b/>
              </w:rPr>
              <w:t>Competence</w:t>
            </w:r>
          </w:p>
        </w:tc>
      </w:tr>
      <w:tr w:rsidR="00594088" w14:paraId="784438C2" w14:textId="77777777" w:rsidTr="00594088">
        <w:tc>
          <w:tcPr>
            <w:tcW w:w="0" w:type="auto"/>
            <w:tcBorders>
              <w:right w:val="single" w:sz="2" w:space="0" w:color="auto"/>
            </w:tcBorders>
            <w:tcMar>
              <w:top w:w="29" w:type="dxa"/>
              <w:left w:w="29" w:type="dxa"/>
              <w:bottom w:w="58" w:type="dxa"/>
              <w:right w:w="29" w:type="dxa"/>
            </w:tcMar>
          </w:tcPr>
          <w:p w14:paraId="326AA80C" w14:textId="77777777" w:rsidR="00594088" w:rsidRPr="00EA47A0" w:rsidRDefault="00594088" w:rsidP="00594088">
            <w:pPr>
              <w:spacing w:after="0"/>
              <w:jc w:val="center"/>
            </w:pPr>
            <w:r>
              <w:t>Indicators of Growth/Renewal</w:t>
            </w:r>
          </w:p>
        </w:tc>
        <w:tc>
          <w:tcPr>
            <w:tcW w:w="0" w:type="auto"/>
            <w:tcBorders>
              <w:top w:val="single" w:sz="2" w:space="0" w:color="auto"/>
              <w:left w:val="single" w:sz="2" w:space="0" w:color="auto"/>
              <w:bottom w:val="single" w:sz="2" w:space="0" w:color="auto"/>
              <w:right w:val="single" w:sz="2" w:space="0" w:color="auto"/>
            </w:tcBorders>
            <w:tcMar>
              <w:top w:w="29" w:type="dxa"/>
              <w:left w:w="29" w:type="dxa"/>
              <w:bottom w:w="58" w:type="dxa"/>
              <w:right w:w="29" w:type="dxa"/>
            </w:tcMar>
          </w:tcPr>
          <w:p w14:paraId="40BDAC40" w14:textId="77777777" w:rsidR="00594088" w:rsidRDefault="00594088" w:rsidP="00594088">
            <w:pPr>
              <w:spacing w:after="0"/>
              <w:jc w:val="center"/>
            </w:pPr>
            <w:r>
              <w:t>Indicators of Growth/Renewal</w:t>
            </w:r>
          </w:p>
        </w:tc>
        <w:tc>
          <w:tcPr>
            <w:tcW w:w="0" w:type="auto"/>
            <w:tcBorders>
              <w:top w:val="single" w:sz="2" w:space="0" w:color="auto"/>
              <w:left w:val="single" w:sz="2" w:space="0" w:color="auto"/>
              <w:bottom w:val="single" w:sz="2" w:space="0" w:color="auto"/>
              <w:right w:val="single" w:sz="2" w:space="0" w:color="auto"/>
            </w:tcBorders>
            <w:tcMar>
              <w:top w:w="29" w:type="dxa"/>
              <w:left w:w="29" w:type="dxa"/>
              <w:bottom w:w="58" w:type="dxa"/>
              <w:right w:w="29" w:type="dxa"/>
            </w:tcMar>
          </w:tcPr>
          <w:p w14:paraId="4785EF90" w14:textId="77777777" w:rsidR="00594088" w:rsidRDefault="00594088" w:rsidP="00594088">
            <w:pPr>
              <w:spacing w:after="0"/>
              <w:jc w:val="center"/>
            </w:pPr>
            <w:r>
              <w:t>Indicators of Growth/Renewal</w:t>
            </w:r>
          </w:p>
        </w:tc>
      </w:tr>
      <w:tr w:rsidR="00594088" w14:paraId="1CD5AADD" w14:textId="77777777" w:rsidTr="00594088">
        <w:tc>
          <w:tcPr>
            <w:tcW w:w="0" w:type="auto"/>
            <w:tcBorders>
              <w:right w:val="single" w:sz="2" w:space="0" w:color="auto"/>
            </w:tcBorders>
            <w:tcMar>
              <w:top w:w="29" w:type="dxa"/>
              <w:left w:w="29" w:type="dxa"/>
              <w:bottom w:w="58" w:type="dxa"/>
              <w:right w:w="29" w:type="dxa"/>
            </w:tcMar>
          </w:tcPr>
          <w:p w14:paraId="6C425552" w14:textId="77777777" w:rsidR="00594088" w:rsidRDefault="00594088" w:rsidP="00594088">
            <w:pPr>
              <w:spacing w:after="0"/>
              <w:jc w:val="center"/>
            </w:pPr>
            <w:r>
              <w:t>Indicators of Efficiency</w:t>
            </w:r>
          </w:p>
        </w:tc>
        <w:tc>
          <w:tcPr>
            <w:tcW w:w="0" w:type="auto"/>
            <w:tcBorders>
              <w:top w:val="single" w:sz="2" w:space="0" w:color="auto"/>
              <w:left w:val="single" w:sz="2" w:space="0" w:color="auto"/>
              <w:bottom w:val="single" w:sz="2" w:space="0" w:color="auto"/>
              <w:right w:val="single" w:sz="2" w:space="0" w:color="auto"/>
            </w:tcBorders>
            <w:tcMar>
              <w:top w:w="29" w:type="dxa"/>
              <w:left w:w="29" w:type="dxa"/>
              <w:bottom w:w="58" w:type="dxa"/>
              <w:right w:w="29" w:type="dxa"/>
            </w:tcMar>
          </w:tcPr>
          <w:p w14:paraId="47D02BE4" w14:textId="77777777" w:rsidR="00594088" w:rsidRDefault="00594088" w:rsidP="00594088">
            <w:pPr>
              <w:spacing w:after="0"/>
              <w:jc w:val="center"/>
            </w:pPr>
            <w:r>
              <w:t>Indicators of Efficiency</w:t>
            </w:r>
          </w:p>
        </w:tc>
        <w:tc>
          <w:tcPr>
            <w:tcW w:w="0" w:type="auto"/>
            <w:tcBorders>
              <w:top w:val="single" w:sz="2" w:space="0" w:color="auto"/>
              <w:left w:val="single" w:sz="2" w:space="0" w:color="auto"/>
              <w:bottom w:val="single" w:sz="2" w:space="0" w:color="auto"/>
              <w:right w:val="single" w:sz="2" w:space="0" w:color="auto"/>
            </w:tcBorders>
            <w:tcMar>
              <w:top w:w="29" w:type="dxa"/>
              <w:left w:w="29" w:type="dxa"/>
              <w:bottom w:w="58" w:type="dxa"/>
              <w:right w:w="29" w:type="dxa"/>
            </w:tcMar>
          </w:tcPr>
          <w:p w14:paraId="1830A279" w14:textId="77777777" w:rsidR="00594088" w:rsidRDefault="00594088" w:rsidP="00594088">
            <w:pPr>
              <w:spacing w:after="0"/>
              <w:jc w:val="center"/>
            </w:pPr>
            <w:r>
              <w:t>Indicators of Efficiency</w:t>
            </w:r>
          </w:p>
        </w:tc>
      </w:tr>
      <w:tr w:rsidR="00A254F0" w14:paraId="57ACD4C4" w14:textId="77777777" w:rsidTr="00594088">
        <w:tc>
          <w:tcPr>
            <w:tcW w:w="0" w:type="auto"/>
            <w:tcBorders>
              <w:right w:val="single" w:sz="2" w:space="0" w:color="auto"/>
            </w:tcBorders>
            <w:tcMar>
              <w:top w:w="29" w:type="dxa"/>
              <w:left w:w="29" w:type="dxa"/>
              <w:bottom w:w="58" w:type="dxa"/>
              <w:right w:w="29" w:type="dxa"/>
            </w:tcMar>
          </w:tcPr>
          <w:p w14:paraId="7911CC27" w14:textId="77777777" w:rsidR="00A254F0" w:rsidRPr="00A254F0" w:rsidRDefault="00A254F0" w:rsidP="00594088">
            <w:pPr>
              <w:spacing w:after="0"/>
              <w:jc w:val="center"/>
              <w:rPr>
                <w:sz w:val="8"/>
                <w:szCs w:val="8"/>
              </w:rPr>
            </w:pPr>
          </w:p>
        </w:tc>
        <w:tc>
          <w:tcPr>
            <w:tcW w:w="0" w:type="auto"/>
            <w:tcBorders>
              <w:top w:val="single" w:sz="2" w:space="0" w:color="auto"/>
              <w:left w:val="single" w:sz="2" w:space="0" w:color="auto"/>
              <w:bottom w:val="single" w:sz="2" w:space="0" w:color="auto"/>
              <w:right w:val="single" w:sz="2" w:space="0" w:color="auto"/>
            </w:tcBorders>
            <w:tcMar>
              <w:top w:w="29" w:type="dxa"/>
              <w:left w:w="29" w:type="dxa"/>
              <w:bottom w:w="58" w:type="dxa"/>
              <w:right w:w="29" w:type="dxa"/>
            </w:tcMar>
          </w:tcPr>
          <w:p w14:paraId="3AD1EA7B" w14:textId="77777777" w:rsidR="00A254F0" w:rsidRPr="00A87BEE" w:rsidRDefault="00A254F0" w:rsidP="00594088">
            <w:pPr>
              <w:spacing w:after="0"/>
              <w:jc w:val="center"/>
              <w:rPr>
                <w:sz w:val="8"/>
                <w:szCs w:val="8"/>
              </w:rPr>
            </w:pPr>
          </w:p>
        </w:tc>
        <w:tc>
          <w:tcPr>
            <w:tcW w:w="0" w:type="auto"/>
            <w:tcBorders>
              <w:top w:val="single" w:sz="2" w:space="0" w:color="auto"/>
              <w:left w:val="single" w:sz="2" w:space="0" w:color="auto"/>
              <w:bottom w:val="single" w:sz="2" w:space="0" w:color="auto"/>
              <w:right w:val="single" w:sz="2" w:space="0" w:color="auto"/>
            </w:tcBorders>
            <w:tcMar>
              <w:top w:w="29" w:type="dxa"/>
              <w:left w:w="29" w:type="dxa"/>
              <w:bottom w:w="58" w:type="dxa"/>
              <w:right w:w="29" w:type="dxa"/>
            </w:tcMar>
          </w:tcPr>
          <w:p w14:paraId="221D4355" w14:textId="77777777" w:rsidR="00A254F0" w:rsidRPr="00A87BEE" w:rsidRDefault="00A254F0" w:rsidP="00594088">
            <w:pPr>
              <w:spacing w:after="0"/>
              <w:jc w:val="center"/>
              <w:rPr>
                <w:sz w:val="8"/>
                <w:szCs w:val="8"/>
              </w:rPr>
            </w:pPr>
          </w:p>
        </w:tc>
      </w:tr>
      <w:tr w:rsidR="00594088" w14:paraId="7CE7FF90" w14:textId="77777777" w:rsidTr="00594088">
        <w:tc>
          <w:tcPr>
            <w:tcW w:w="0" w:type="auto"/>
            <w:tcBorders>
              <w:right w:val="single" w:sz="2" w:space="0" w:color="auto"/>
            </w:tcBorders>
            <w:tcMar>
              <w:top w:w="29" w:type="dxa"/>
              <w:left w:w="29" w:type="dxa"/>
              <w:bottom w:w="58" w:type="dxa"/>
              <w:right w:w="29" w:type="dxa"/>
            </w:tcMar>
          </w:tcPr>
          <w:p w14:paraId="2818F17A" w14:textId="77777777" w:rsidR="00594088" w:rsidRDefault="00594088" w:rsidP="00594088">
            <w:pPr>
              <w:spacing w:after="0"/>
              <w:jc w:val="center"/>
            </w:pPr>
            <w:r>
              <w:t>Indicators of Stability</w:t>
            </w:r>
          </w:p>
        </w:tc>
        <w:tc>
          <w:tcPr>
            <w:tcW w:w="0" w:type="auto"/>
            <w:tcBorders>
              <w:top w:val="single" w:sz="2" w:space="0" w:color="auto"/>
              <w:left w:val="single" w:sz="2" w:space="0" w:color="auto"/>
              <w:bottom w:val="single" w:sz="2" w:space="0" w:color="auto"/>
              <w:right w:val="single" w:sz="2" w:space="0" w:color="auto"/>
            </w:tcBorders>
            <w:tcMar>
              <w:top w:w="29" w:type="dxa"/>
              <w:left w:w="29" w:type="dxa"/>
              <w:bottom w:w="58" w:type="dxa"/>
              <w:right w:w="29" w:type="dxa"/>
            </w:tcMar>
          </w:tcPr>
          <w:p w14:paraId="5FF490A9" w14:textId="77777777" w:rsidR="00594088" w:rsidRDefault="00594088" w:rsidP="00594088">
            <w:pPr>
              <w:spacing w:after="0"/>
              <w:jc w:val="center"/>
            </w:pPr>
            <w:r>
              <w:t>Indicators of Stability</w:t>
            </w:r>
          </w:p>
        </w:tc>
        <w:tc>
          <w:tcPr>
            <w:tcW w:w="0" w:type="auto"/>
            <w:tcBorders>
              <w:top w:val="single" w:sz="2" w:space="0" w:color="auto"/>
              <w:left w:val="single" w:sz="2" w:space="0" w:color="auto"/>
              <w:bottom w:val="single" w:sz="2" w:space="0" w:color="auto"/>
              <w:right w:val="single" w:sz="2" w:space="0" w:color="auto"/>
            </w:tcBorders>
            <w:tcMar>
              <w:top w:w="29" w:type="dxa"/>
              <w:left w:w="29" w:type="dxa"/>
              <w:bottom w:w="58" w:type="dxa"/>
              <w:right w:w="29" w:type="dxa"/>
            </w:tcMar>
          </w:tcPr>
          <w:p w14:paraId="445E9E34" w14:textId="77777777" w:rsidR="00594088" w:rsidRDefault="00594088" w:rsidP="00594088">
            <w:pPr>
              <w:spacing w:after="0"/>
              <w:jc w:val="center"/>
            </w:pPr>
            <w:r>
              <w:t>Indicators of Stability</w:t>
            </w:r>
          </w:p>
        </w:tc>
      </w:tr>
    </w:tbl>
    <w:p w14:paraId="6B442CDF" w14:textId="77777777" w:rsidR="00594088" w:rsidRDefault="00594088" w:rsidP="00594088">
      <w:pPr>
        <w:widowControl w:val="0"/>
        <w:autoSpaceDE w:val="0"/>
        <w:autoSpaceDN w:val="0"/>
        <w:adjustRightInd w:val="0"/>
        <w:spacing w:before="80" w:after="0"/>
        <w:ind w:firstLine="0"/>
        <w:rPr>
          <w:color w:val="000000"/>
        </w:rPr>
      </w:pPr>
    </w:p>
    <w:p w14:paraId="37E08BC3" w14:textId="77777777" w:rsidR="0094077A" w:rsidRPr="00613FDD" w:rsidRDefault="0094077A" w:rsidP="0091771A">
      <w:pPr>
        <w:ind w:firstLine="0"/>
        <w:rPr>
          <w:rFonts w:ascii="Arial" w:hAnsi="Arial"/>
          <w:b/>
          <w:sz w:val="22"/>
          <w:szCs w:val="22"/>
          <w:lang w:val="en"/>
        </w:rPr>
      </w:pPr>
      <w:r>
        <w:rPr>
          <w:rFonts w:ascii="Arial" w:hAnsi="Arial"/>
          <w:b/>
          <w:sz w:val="22"/>
          <w:szCs w:val="22"/>
          <w:lang w:val="en"/>
        </w:rPr>
        <w:t>Data Sources and M</w:t>
      </w:r>
      <w:r w:rsidRPr="00613FDD">
        <w:rPr>
          <w:rFonts w:ascii="Arial" w:hAnsi="Arial"/>
          <w:b/>
          <w:sz w:val="22"/>
          <w:szCs w:val="22"/>
          <w:lang w:val="en"/>
        </w:rPr>
        <w:t>ethods</w:t>
      </w:r>
    </w:p>
    <w:p w14:paraId="3C5E9474" w14:textId="77777777" w:rsidR="0094077A" w:rsidRDefault="0094077A" w:rsidP="0094077A">
      <w:pPr>
        <w:rPr>
          <w:lang w:val="en"/>
        </w:rPr>
      </w:pPr>
      <w:r w:rsidRPr="00302278">
        <w:rPr>
          <w:lang w:val="en"/>
        </w:rPr>
        <w:t xml:space="preserve">The study re-used data from </w:t>
      </w:r>
      <w:r>
        <w:rPr>
          <w:lang w:val="en"/>
        </w:rPr>
        <w:t xml:space="preserve">prior work </w:t>
      </w:r>
      <w:r w:rsidRPr="007726CA">
        <w:rPr>
          <w:lang w:val="en"/>
        </w:rPr>
        <w:t>(</w:t>
      </w:r>
      <w:r>
        <w:rPr>
          <w:lang w:val="en"/>
        </w:rPr>
        <w:t>Corrall, 2012</w:t>
      </w:r>
      <w:r w:rsidRPr="007726CA">
        <w:rPr>
          <w:lang w:val="en"/>
        </w:rPr>
        <w:t>; Corrall, Kennan &amp; Afzal, 2013</w:t>
      </w:r>
      <w:r>
        <w:rPr>
          <w:lang w:val="en"/>
        </w:rPr>
        <w:t>; Cox &amp; Corrall, 2013</w:t>
      </w:r>
      <w:r w:rsidRPr="007726CA">
        <w:rPr>
          <w:lang w:val="en"/>
        </w:rPr>
        <w:t>),</w:t>
      </w:r>
      <w:r>
        <w:rPr>
          <w:lang w:val="en"/>
        </w:rPr>
        <w:t xml:space="preserve"> which was supplemented with additional</w:t>
      </w:r>
      <w:r w:rsidRPr="00302278">
        <w:rPr>
          <w:lang w:val="en"/>
        </w:rPr>
        <w:t xml:space="preserve"> evidence from the literature.</w:t>
      </w:r>
    </w:p>
    <w:p w14:paraId="1279F335" w14:textId="6355DC67" w:rsidR="00FF0D4E" w:rsidRDefault="00FF0D4E" w:rsidP="00FF0D4E">
      <w:pPr>
        <w:rPr>
          <w:lang w:val="en"/>
        </w:rPr>
      </w:pPr>
      <w:r w:rsidRPr="00302278">
        <w:rPr>
          <w:lang w:val="en"/>
        </w:rPr>
        <w:t>Library literature on IC was reviewed to establish thi</w:t>
      </w:r>
      <w:r w:rsidR="00D2721D">
        <w:rPr>
          <w:lang w:val="en"/>
        </w:rPr>
        <w:t>nking and practice in the field.</w:t>
      </w:r>
      <w:r w:rsidRPr="00302278">
        <w:rPr>
          <w:lang w:val="en"/>
        </w:rPr>
        <w:t xml:space="preserve"> </w:t>
      </w:r>
      <w:r w:rsidR="00D2721D">
        <w:rPr>
          <w:lang w:val="en"/>
        </w:rPr>
        <w:t>Survey and case study data</w:t>
      </w:r>
      <w:r w:rsidRPr="00302278">
        <w:rPr>
          <w:lang w:val="en"/>
        </w:rPr>
        <w:t xml:space="preserve"> on library engagement with research data management </w:t>
      </w:r>
      <w:r w:rsidR="00D2721D">
        <w:rPr>
          <w:lang w:val="en"/>
        </w:rPr>
        <w:t>were</w:t>
      </w:r>
      <w:r w:rsidRPr="00302278">
        <w:rPr>
          <w:lang w:val="en"/>
        </w:rPr>
        <w:t xml:space="preserve"> </w:t>
      </w:r>
      <w:r w:rsidR="00D2721D">
        <w:rPr>
          <w:lang w:val="en"/>
        </w:rPr>
        <w:t>analyzed</w:t>
      </w:r>
      <w:r w:rsidRPr="00302278">
        <w:rPr>
          <w:lang w:val="en"/>
        </w:rPr>
        <w:t xml:space="preserve"> to identify factors helping or hindering service development</w:t>
      </w:r>
      <w:r w:rsidR="00296D6D">
        <w:rPr>
          <w:lang w:val="en"/>
        </w:rPr>
        <w:t xml:space="preserve">. </w:t>
      </w:r>
      <w:r w:rsidRPr="00302278">
        <w:rPr>
          <w:lang w:val="en"/>
        </w:rPr>
        <w:t>The OECD’s (2006; 2008) categorization of IAs was chosen as an analytical framework on the basis of its international standing and its evident applicability to LIS. Table 3 shows the three broad categories specified with the brief descriptions and examples/keywords set out in the OECD (2008) synthesis report.</w:t>
      </w:r>
    </w:p>
    <w:p w14:paraId="0ACC7155" w14:textId="77777777" w:rsidR="00DF202A" w:rsidRDefault="00DF202A" w:rsidP="00DF202A">
      <w:pPr>
        <w:ind w:firstLine="0"/>
        <w:jc w:val="center"/>
      </w:pPr>
      <w:r>
        <w:t>Table 3</w:t>
      </w:r>
      <w:r w:rsidRPr="00D77928">
        <w:t>. OECD classification of intellectual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58" w:type="dxa"/>
          <w:right w:w="29" w:type="dxa"/>
        </w:tblCellMar>
        <w:tblLook w:val="04A0" w:firstRow="1" w:lastRow="0" w:firstColumn="1" w:lastColumn="0" w:noHBand="0" w:noVBand="1"/>
      </w:tblPr>
      <w:tblGrid>
        <w:gridCol w:w="974"/>
        <w:gridCol w:w="1466"/>
        <w:gridCol w:w="2269"/>
      </w:tblGrid>
      <w:tr w:rsidR="00DF202A" w:rsidRPr="00F924AF" w14:paraId="0F715540" w14:textId="77777777" w:rsidTr="00DF202A">
        <w:trPr>
          <w:trHeight w:val="346"/>
        </w:trPr>
        <w:tc>
          <w:tcPr>
            <w:tcW w:w="1195" w:type="dxa"/>
            <w:shd w:val="clear" w:color="auto" w:fill="auto"/>
            <w:tcMar>
              <w:right w:w="58" w:type="dxa"/>
            </w:tcMar>
            <w:vAlign w:val="center"/>
          </w:tcPr>
          <w:p w14:paraId="2BBA280D" w14:textId="1F9F4C2C" w:rsidR="00DE6857" w:rsidRDefault="00DE6857" w:rsidP="00DF202A">
            <w:pPr>
              <w:pStyle w:val="Default"/>
              <w:jc w:val="center"/>
              <w:rPr>
                <w:rFonts w:ascii="Times New Roman" w:hAnsi="Times New Roman" w:cs="Times New Roman"/>
                <w:b/>
                <w:sz w:val="20"/>
                <w:szCs w:val="20"/>
              </w:rPr>
            </w:pPr>
            <w:r>
              <w:rPr>
                <w:rFonts w:ascii="Times New Roman" w:hAnsi="Times New Roman" w:cs="Times New Roman"/>
                <w:b/>
                <w:sz w:val="20"/>
                <w:szCs w:val="20"/>
              </w:rPr>
              <w:t>IC</w:t>
            </w:r>
          </w:p>
          <w:p w14:paraId="1743189E" w14:textId="77777777" w:rsidR="00DF202A" w:rsidRPr="00DF202A" w:rsidRDefault="00DF202A" w:rsidP="00DF202A">
            <w:pPr>
              <w:pStyle w:val="Default"/>
              <w:jc w:val="center"/>
              <w:rPr>
                <w:rFonts w:ascii="Times New Roman" w:hAnsi="Times New Roman" w:cs="Times New Roman"/>
                <w:b/>
                <w:sz w:val="20"/>
                <w:szCs w:val="20"/>
              </w:rPr>
            </w:pPr>
            <w:r w:rsidRPr="00DF202A">
              <w:rPr>
                <w:rFonts w:ascii="Times New Roman" w:hAnsi="Times New Roman" w:cs="Times New Roman"/>
                <w:b/>
                <w:sz w:val="20"/>
                <w:szCs w:val="20"/>
              </w:rPr>
              <w:t>Category</w:t>
            </w:r>
          </w:p>
        </w:tc>
        <w:tc>
          <w:tcPr>
            <w:tcW w:w="2693" w:type="dxa"/>
            <w:shd w:val="clear" w:color="auto" w:fill="auto"/>
            <w:tcMar>
              <w:right w:w="58" w:type="dxa"/>
            </w:tcMar>
            <w:vAlign w:val="center"/>
          </w:tcPr>
          <w:p w14:paraId="04143294" w14:textId="77777777" w:rsidR="00DF202A" w:rsidRPr="00DF202A" w:rsidRDefault="00DF202A" w:rsidP="00DF202A">
            <w:pPr>
              <w:pStyle w:val="Default"/>
              <w:jc w:val="center"/>
              <w:rPr>
                <w:rFonts w:ascii="Times New Roman" w:hAnsi="Times New Roman" w:cs="Times New Roman"/>
                <w:b/>
                <w:sz w:val="20"/>
                <w:szCs w:val="20"/>
              </w:rPr>
            </w:pPr>
            <w:r w:rsidRPr="00DF202A">
              <w:rPr>
                <w:rFonts w:ascii="Times New Roman" w:hAnsi="Times New Roman" w:cs="Times New Roman"/>
                <w:b/>
                <w:sz w:val="20"/>
                <w:szCs w:val="20"/>
              </w:rPr>
              <w:t>Brief description</w:t>
            </w:r>
          </w:p>
        </w:tc>
        <w:tc>
          <w:tcPr>
            <w:tcW w:w="5688" w:type="dxa"/>
            <w:shd w:val="clear" w:color="auto" w:fill="auto"/>
            <w:tcMar>
              <w:right w:w="58" w:type="dxa"/>
            </w:tcMar>
            <w:vAlign w:val="center"/>
          </w:tcPr>
          <w:p w14:paraId="3D39F878" w14:textId="77777777" w:rsidR="00DE6857" w:rsidRDefault="00DF202A" w:rsidP="00DF202A">
            <w:pPr>
              <w:pStyle w:val="Default"/>
              <w:jc w:val="center"/>
              <w:rPr>
                <w:rFonts w:ascii="Times New Roman" w:hAnsi="Times New Roman" w:cs="Times New Roman"/>
                <w:b/>
                <w:sz w:val="20"/>
                <w:szCs w:val="20"/>
              </w:rPr>
            </w:pPr>
            <w:r w:rsidRPr="00DF202A">
              <w:rPr>
                <w:rFonts w:ascii="Times New Roman" w:hAnsi="Times New Roman" w:cs="Times New Roman"/>
                <w:b/>
                <w:sz w:val="20"/>
                <w:szCs w:val="20"/>
              </w:rPr>
              <w:t>Examples/</w:t>
            </w:r>
          </w:p>
          <w:p w14:paraId="15E50EB1" w14:textId="73FDEE2E" w:rsidR="00DF202A" w:rsidRPr="00DF202A" w:rsidRDefault="00DF202A" w:rsidP="00DF202A">
            <w:pPr>
              <w:pStyle w:val="Default"/>
              <w:jc w:val="center"/>
              <w:rPr>
                <w:rFonts w:ascii="Times New Roman" w:hAnsi="Times New Roman" w:cs="Times New Roman"/>
                <w:b/>
                <w:sz w:val="20"/>
                <w:szCs w:val="20"/>
              </w:rPr>
            </w:pPr>
            <w:r w:rsidRPr="00DF202A">
              <w:rPr>
                <w:rFonts w:ascii="Times New Roman" w:hAnsi="Times New Roman" w:cs="Times New Roman"/>
                <w:b/>
                <w:sz w:val="20"/>
                <w:szCs w:val="20"/>
              </w:rPr>
              <w:t>keywords</w:t>
            </w:r>
          </w:p>
        </w:tc>
      </w:tr>
      <w:tr w:rsidR="00DF202A" w:rsidRPr="00F924AF" w14:paraId="3B2CEB2D" w14:textId="77777777" w:rsidTr="00DF202A">
        <w:trPr>
          <w:trHeight w:val="346"/>
        </w:trPr>
        <w:tc>
          <w:tcPr>
            <w:tcW w:w="1195" w:type="dxa"/>
            <w:shd w:val="clear" w:color="auto" w:fill="auto"/>
            <w:tcMar>
              <w:right w:w="58" w:type="dxa"/>
            </w:tcMar>
          </w:tcPr>
          <w:p w14:paraId="09E02D87" w14:textId="77777777" w:rsidR="00DF202A" w:rsidRPr="00DF202A" w:rsidRDefault="00DF202A" w:rsidP="00DF202A">
            <w:pPr>
              <w:pStyle w:val="Default"/>
              <w:jc w:val="center"/>
              <w:rPr>
                <w:rFonts w:ascii="Times New Roman" w:hAnsi="Times New Roman" w:cs="Times New Roman"/>
                <w:sz w:val="20"/>
                <w:szCs w:val="20"/>
              </w:rPr>
            </w:pPr>
            <w:r w:rsidRPr="00DF202A">
              <w:rPr>
                <w:rFonts w:ascii="Times New Roman" w:hAnsi="Times New Roman" w:cs="Times New Roman"/>
                <w:sz w:val="20"/>
                <w:szCs w:val="20"/>
              </w:rPr>
              <w:t>Human capital</w:t>
            </w:r>
          </w:p>
        </w:tc>
        <w:tc>
          <w:tcPr>
            <w:tcW w:w="2693" w:type="dxa"/>
            <w:shd w:val="clear" w:color="auto" w:fill="auto"/>
            <w:tcMar>
              <w:right w:w="58" w:type="dxa"/>
            </w:tcMar>
          </w:tcPr>
          <w:p w14:paraId="783F4D23" w14:textId="77777777" w:rsidR="00DF202A" w:rsidRPr="00DF202A" w:rsidRDefault="00DF202A" w:rsidP="00DF202A">
            <w:pPr>
              <w:pStyle w:val="Default"/>
              <w:jc w:val="center"/>
              <w:rPr>
                <w:rFonts w:ascii="Times New Roman" w:hAnsi="Times New Roman" w:cs="Times New Roman"/>
                <w:sz w:val="20"/>
                <w:szCs w:val="20"/>
              </w:rPr>
            </w:pPr>
            <w:r w:rsidRPr="00DF202A">
              <w:rPr>
                <w:rFonts w:ascii="Times New Roman" w:hAnsi="Times New Roman" w:cs="Times New Roman"/>
                <w:sz w:val="20"/>
                <w:szCs w:val="20"/>
              </w:rPr>
              <w:t>Knowledge, skills, and know-how that staff  “take with them when they leave at night”</w:t>
            </w:r>
          </w:p>
        </w:tc>
        <w:tc>
          <w:tcPr>
            <w:tcW w:w="5688" w:type="dxa"/>
            <w:shd w:val="clear" w:color="auto" w:fill="auto"/>
            <w:tcMar>
              <w:right w:w="58" w:type="dxa"/>
            </w:tcMar>
          </w:tcPr>
          <w:p w14:paraId="2F7F214A" w14:textId="77777777" w:rsidR="00DF202A" w:rsidRPr="00DF202A" w:rsidRDefault="00DF202A" w:rsidP="00DF202A">
            <w:pPr>
              <w:pStyle w:val="Default"/>
              <w:jc w:val="center"/>
              <w:rPr>
                <w:rFonts w:ascii="Times New Roman" w:hAnsi="Times New Roman" w:cs="Times New Roman"/>
                <w:sz w:val="20"/>
                <w:szCs w:val="20"/>
              </w:rPr>
            </w:pPr>
            <w:r w:rsidRPr="00DF202A">
              <w:rPr>
                <w:rFonts w:ascii="Times New Roman" w:hAnsi="Times New Roman" w:cs="Times New Roman"/>
                <w:sz w:val="20"/>
                <w:szCs w:val="20"/>
              </w:rPr>
              <w:t>Innovation capacity, creativity, know-how, previous experience, teamwork capacity, employee flexibility, tolerance for ambiguity, motivation, satisfaction, learning capacity, loyalty, formal training, education.</w:t>
            </w:r>
          </w:p>
        </w:tc>
      </w:tr>
      <w:tr w:rsidR="00DF202A" w:rsidRPr="00F924AF" w14:paraId="0DEB3731" w14:textId="77777777" w:rsidTr="00DF202A">
        <w:trPr>
          <w:trHeight w:val="346"/>
        </w:trPr>
        <w:tc>
          <w:tcPr>
            <w:tcW w:w="1195" w:type="dxa"/>
            <w:shd w:val="clear" w:color="auto" w:fill="auto"/>
            <w:tcMar>
              <w:right w:w="58" w:type="dxa"/>
            </w:tcMar>
          </w:tcPr>
          <w:p w14:paraId="4546E847" w14:textId="77777777" w:rsidR="00DF202A" w:rsidRPr="00DF202A" w:rsidRDefault="00DF202A" w:rsidP="00DF202A">
            <w:pPr>
              <w:pStyle w:val="Default"/>
              <w:jc w:val="center"/>
              <w:rPr>
                <w:rFonts w:ascii="Times New Roman" w:hAnsi="Times New Roman" w:cs="Times New Roman"/>
                <w:sz w:val="20"/>
                <w:szCs w:val="20"/>
              </w:rPr>
            </w:pPr>
            <w:r w:rsidRPr="00DF202A">
              <w:rPr>
                <w:rFonts w:ascii="Times New Roman" w:hAnsi="Times New Roman" w:cs="Times New Roman"/>
                <w:sz w:val="20"/>
                <w:szCs w:val="20"/>
              </w:rPr>
              <w:t>Relational capital</w:t>
            </w:r>
          </w:p>
        </w:tc>
        <w:tc>
          <w:tcPr>
            <w:tcW w:w="2693" w:type="dxa"/>
            <w:shd w:val="clear" w:color="auto" w:fill="auto"/>
            <w:tcMar>
              <w:right w:w="58" w:type="dxa"/>
            </w:tcMar>
          </w:tcPr>
          <w:p w14:paraId="4C49B7D8" w14:textId="77777777" w:rsidR="00DF202A" w:rsidRPr="00DF202A" w:rsidRDefault="00DF202A" w:rsidP="00DF202A">
            <w:pPr>
              <w:pStyle w:val="Default"/>
              <w:jc w:val="center"/>
              <w:rPr>
                <w:rFonts w:ascii="Times New Roman" w:hAnsi="Times New Roman" w:cs="Times New Roman"/>
                <w:sz w:val="20"/>
                <w:szCs w:val="20"/>
              </w:rPr>
            </w:pPr>
            <w:r w:rsidRPr="00DF202A">
              <w:rPr>
                <w:rFonts w:ascii="Times New Roman" w:hAnsi="Times New Roman" w:cs="Times New Roman"/>
                <w:sz w:val="20"/>
                <w:szCs w:val="20"/>
              </w:rPr>
              <w:t>External relationships with customers, suppliers, and R&amp;D partners</w:t>
            </w:r>
          </w:p>
        </w:tc>
        <w:tc>
          <w:tcPr>
            <w:tcW w:w="5688" w:type="dxa"/>
            <w:shd w:val="clear" w:color="auto" w:fill="auto"/>
            <w:tcMar>
              <w:right w:w="58" w:type="dxa"/>
            </w:tcMar>
          </w:tcPr>
          <w:p w14:paraId="431EC152" w14:textId="77777777" w:rsidR="00DF202A" w:rsidRPr="00DF202A" w:rsidRDefault="00DF202A" w:rsidP="00DF202A">
            <w:pPr>
              <w:pStyle w:val="Default"/>
              <w:jc w:val="center"/>
              <w:rPr>
                <w:rFonts w:ascii="Times New Roman" w:hAnsi="Times New Roman" w:cs="Times New Roman"/>
                <w:sz w:val="20"/>
                <w:szCs w:val="20"/>
              </w:rPr>
            </w:pPr>
            <w:r w:rsidRPr="00DF202A">
              <w:rPr>
                <w:rFonts w:ascii="Times New Roman" w:hAnsi="Times New Roman" w:cs="Times New Roman"/>
                <w:sz w:val="20"/>
                <w:szCs w:val="20"/>
              </w:rPr>
              <w:t>Stakeholder relations: image, customer loyalty, customer satisfaction, links with suppliers, commercial power, negotiating capacity with financial entities.</w:t>
            </w:r>
          </w:p>
        </w:tc>
      </w:tr>
      <w:tr w:rsidR="00DF202A" w:rsidRPr="00F924AF" w14:paraId="5DDAD8A5" w14:textId="77777777" w:rsidTr="00DF202A">
        <w:trPr>
          <w:trHeight w:val="346"/>
        </w:trPr>
        <w:tc>
          <w:tcPr>
            <w:tcW w:w="1195" w:type="dxa"/>
            <w:shd w:val="clear" w:color="auto" w:fill="auto"/>
            <w:tcMar>
              <w:right w:w="58" w:type="dxa"/>
            </w:tcMar>
          </w:tcPr>
          <w:p w14:paraId="13B10275" w14:textId="77777777" w:rsidR="00DF202A" w:rsidRPr="00DF202A" w:rsidRDefault="00DF202A" w:rsidP="00DF202A">
            <w:pPr>
              <w:pStyle w:val="Default"/>
              <w:jc w:val="center"/>
              <w:rPr>
                <w:rFonts w:ascii="Times New Roman" w:hAnsi="Times New Roman" w:cs="Times New Roman"/>
                <w:sz w:val="20"/>
                <w:szCs w:val="20"/>
              </w:rPr>
            </w:pPr>
            <w:r w:rsidRPr="00DF202A">
              <w:rPr>
                <w:rFonts w:ascii="Times New Roman" w:hAnsi="Times New Roman" w:cs="Times New Roman"/>
                <w:sz w:val="20"/>
                <w:szCs w:val="20"/>
              </w:rPr>
              <w:t>Structural capital</w:t>
            </w:r>
          </w:p>
        </w:tc>
        <w:tc>
          <w:tcPr>
            <w:tcW w:w="2693" w:type="dxa"/>
            <w:shd w:val="clear" w:color="auto" w:fill="auto"/>
            <w:tcMar>
              <w:right w:w="58" w:type="dxa"/>
            </w:tcMar>
          </w:tcPr>
          <w:p w14:paraId="08B80A10" w14:textId="77777777" w:rsidR="00DF202A" w:rsidRPr="00DF202A" w:rsidRDefault="00DF202A" w:rsidP="00DF202A">
            <w:pPr>
              <w:pStyle w:val="Default"/>
              <w:jc w:val="center"/>
              <w:rPr>
                <w:rFonts w:ascii="Times New Roman" w:hAnsi="Times New Roman" w:cs="Times New Roman"/>
                <w:sz w:val="20"/>
                <w:szCs w:val="20"/>
              </w:rPr>
            </w:pPr>
            <w:r w:rsidRPr="00DF202A">
              <w:rPr>
                <w:rFonts w:ascii="Times New Roman" w:hAnsi="Times New Roman" w:cs="Times New Roman"/>
                <w:sz w:val="20"/>
                <w:szCs w:val="20"/>
              </w:rPr>
              <w:t>Knowledge that stays with the firm “after the staff leaves at night”</w:t>
            </w:r>
          </w:p>
        </w:tc>
        <w:tc>
          <w:tcPr>
            <w:tcW w:w="5688" w:type="dxa"/>
            <w:shd w:val="clear" w:color="auto" w:fill="auto"/>
            <w:tcMar>
              <w:right w:w="58" w:type="dxa"/>
            </w:tcMar>
          </w:tcPr>
          <w:p w14:paraId="1766CD33" w14:textId="77777777" w:rsidR="00DF202A" w:rsidRPr="00DF202A" w:rsidRDefault="00DF202A" w:rsidP="00DF202A">
            <w:pPr>
              <w:pStyle w:val="Default"/>
              <w:jc w:val="center"/>
              <w:rPr>
                <w:rFonts w:ascii="Times New Roman" w:hAnsi="Times New Roman" w:cs="Times New Roman"/>
                <w:sz w:val="20"/>
                <w:szCs w:val="20"/>
              </w:rPr>
            </w:pPr>
            <w:r w:rsidRPr="00DF202A">
              <w:rPr>
                <w:rFonts w:ascii="Times New Roman" w:hAnsi="Times New Roman" w:cs="Times New Roman"/>
                <w:sz w:val="20"/>
                <w:szCs w:val="20"/>
              </w:rPr>
              <w:t>Organizational routines, procedures, systems, cultures, databases: organizational flexibility, documentation service, knowledge center, information technologies, organizational learning capacities.</w:t>
            </w:r>
          </w:p>
        </w:tc>
      </w:tr>
    </w:tbl>
    <w:p w14:paraId="1659B6F4" w14:textId="77777777" w:rsidR="00DF202A" w:rsidRPr="00302278" w:rsidRDefault="00DF202A" w:rsidP="0099121A">
      <w:pPr>
        <w:spacing w:before="40"/>
        <w:rPr>
          <w:lang w:val="en"/>
        </w:rPr>
      </w:pPr>
    </w:p>
    <w:p w14:paraId="60A42F95" w14:textId="2F6863B0" w:rsidR="00FF0D4E" w:rsidRDefault="0085735B" w:rsidP="001F3035">
      <w:pPr>
        <w:widowControl w:val="0"/>
        <w:autoSpaceDE w:val="0"/>
        <w:autoSpaceDN w:val="0"/>
        <w:adjustRightInd w:val="0"/>
        <w:ind w:firstLine="0"/>
        <w:jc w:val="left"/>
        <w:rPr>
          <w:rFonts w:ascii="Arial" w:hAnsi="Arial"/>
          <w:b/>
          <w:sz w:val="22"/>
          <w:szCs w:val="22"/>
        </w:rPr>
      </w:pPr>
      <w:r w:rsidRPr="0085735B">
        <w:rPr>
          <w:rFonts w:ascii="Arial" w:hAnsi="Arial"/>
          <w:b/>
          <w:sz w:val="22"/>
          <w:szCs w:val="22"/>
        </w:rPr>
        <w:t>Findings and Discussion</w:t>
      </w:r>
    </w:p>
    <w:p w14:paraId="15C24817" w14:textId="1B11DA68" w:rsidR="00FF0D4E" w:rsidRPr="00565F84" w:rsidRDefault="00565F84" w:rsidP="00F84C99">
      <w:pPr>
        <w:widowControl w:val="0"/>
        <w:autoSpaceDE w:val="0"/>
        <w:autoSpaceDN w:val="0"/>
        <w:adjustRightInd w:val="0"/>
        <w:spacing w:before="40"/>
      </w:pPr>
      <w:r>
        <w:t xml:space="preserve">Library engagement with IC has </w:t>
      </w:r>
      <w:r w:rsidR="002F0234">
        <w:t xml:space="preserve">progressed from </w:t>
      </w:r>
      <w:r w:rsidR="00F830DF">
        <w:t>theoretical discussion to</w:t>
      </w:r>
      <w:r w:rsidR="00147814">
        <w:t xml:space="preserve"> real-world application</w:t>
      </w:r>
      <w:r w:rsidR="002C0803">
        <w:t xml:space="preserve"> </w:t>
      </w:r>
      <w:r w:rsidR="007135A0">
        <w:t xml:space="preserve">and </w:t>
      </w:r>
      <w:r w:rsidR="003B0E29">
        <w:t xml:space="preserve">the </w:t>
      </w:r>
      <w:r w:rsidR="007135A0">
        <w:t>development</w:t>
      </w:r>
      <w:r w:rsidR="007B685D">
        <w:t xml:space="preserve"> of </w:t>
      </w:r>
      <w:r w:rsidR="00882FD4">
        <w:t>frameworks</w:t>
      </w:r>
      <w:r w:rsidR="003B0E29">
        <w:t xml:space="preserve"> </w:t>
      </w:r>
      <w:r w:rsidR="005F243E">
        <w:t xml:space="preserve">that can </w:t>
      </w:r>
      <w:r w:rsidR="00A32E4B">
        <w:t>support professional</w:t>
      </w:r>
      <w:r w:rsidR="002F5A9E">
        <w:t xml:space="preserve"> practice</w:t>
      </w:r>
      <w:r w:rsidR="004C5ADC">
        <w:t xml:space="preserve"> in identifying, measuring, and managing </w:t>
      </w:r>
      <w:r w:rsidR="00B16F69">
        <w:t xml:space="preserve">library </w:t>
      </w:r>
      <w:r w:rsidR="004C5ADC">
        <w:t>service assets and liabilities</w:t>
      </w:r>
      <w:r w:rsidR="007B733A">
        <w:t xml:space="preserve"> for strategic advantage</w:t>
      </w:r>
      <w:r w:rsidR="004C5ADC">
        <w:t>.</w:t>
      </w:r>
      <w:r w:rsidR="00C649FB">
        <w:t xml:space="preserve"> </w:t>
      </w:r>
      <w:r w:rsidR="00DB13CD">
        <w:t>In the context of research services in the digital world, a</w:t>
      </w:r>
      <w:r w:rsidR="005555EB">
        <w:t xml:space="preserve">nalysis of the evidence indicates that </w:t>
      </w:r>
      <w:r w:rsidR="005555EB" w:rsidRPr="000A66A1">
        <w:t xml:space="preserve">libraries have important structural and relational assets that should be taken into account alongside their widely recognized human assets when evaluating their capacity to </w:t>
      </w:r>
      <w:r w:rsidR="005555EB">
        <w:t>manage</w:t>
      </w:r>
      <w:r w:rsidR="005555EB" w:rsidRPr="000A66A1">
        <w:t xml:space="preserve"> research data.</w:t>
      </w:r>
      <w:r w:rsidR="005555EB">
        <w:t xml:space="preserve"> </w:t>
      </w:r>
      <w:r w:rsidR="0078402A" w:rsidRPr="000A66A1">
        <w:t xml:space="preserve">The </w:t>
      </w:r>
      <w:r w:rsidR="00EB6743">
        <w:t>IC/IA</w:t>
      </w:r>
      <w:r w:rsidR="001464C7">
        <w:t xml:space="preserve"> models developed </w:t>
      </w:r>
      <w:r w:rsidR="00D0744D">
        <w:t xml:space="preserve">within </w:t>
      </w:r>
      <w:r w:rsidR="001464C7">
        <w:t xml:space="preserve">the LIS </w:t>
      </w:r>
      <w:r w:rsidR="00D0744D">
        <w:t>community</w:t>
      </w:r>
      <w:r w:rsidR="00C649FB" w:rsidRPr="000A66A1">
        <w:t xml:space="preserve"> </w:t>
      </w:r>
      <w:r w:rsidR="00A32E4B">
        <w:t xml:space="preserve">also </w:t>
      </w:r>
      <w:r w:rsidR="00F77FFA">
        <w:t>contribute to our understanding of</w:t>
      </w:r>
      <w:r w:rsidR="007613CA">
        <w:t xml:space="preserve"> significant</w:t>
      </w:r>
      <w:r w:rsidR="008E2F7D">
        <w:t xml:space="preserve"> inter</w:t>
      </w:r>
      <w:r w:rsidR="00122B6D">
        <w:t xml:space="preserve">actions </w:t>
      </w:r>
      <w:r w:rsidR="00EB6743">
        <w:t xml:space="preserve">among different </w:t>
      </w:r>
      <w:r w:rsidR="00AB5E59">
        <w:t>classes</w:t>
      </w:r>
      <w:r w:rsidR="00EB6743">
        <w:t xml:space="preserve"> of IAs</w:t>
      </w:r>
      <w:r w:rsidR="00122B6D">
        <w:t xml:space="preserve">. </w:t>
      </w:r>
    </w:p>
    <w:p w14:paraId="7E395705" w14:textId="44143EE3" w:rsidR="00B54D0E" w:rsidRPr="00BE2AA7" w:rsidRDefault="00B54D0E" w:rsidP="00F84C99">
      <w:pPr>
        <w:widowControl w:val="0"/>
        <w:autoSpaceDE w:val="0"/>
        <w:autoSpaceDN w:val="0"/>
        <w:adjustRightInd w:val="0"/>
        <w:spacing w:after="0"/>
        <w:ind w:firstLine="0"/>
        <w:jc w:val="left"/>
        <w:rPr>
          <w:i/>
        </w:rPr>
      </w:pPr>
      <w:r w:rsidRPr="00AB5E59">
        <w:rPr>
          <w:i/>
        </w:rPr>
        <w:t>Library</w:t>
      </w:r>
      <w:r w:rsidR="00D17207">
        <w:rPr>
          <w:i/>
        </w:rPr>
        <w:t xml:space="preserve"> applications of</w:t>
      </w:r>
      <w:r w:rsidR="00F43C51">
        <w:rPr>
          <w:i/>
        </w:rPr>
        <w:t xml:space="preserve"> intellectual c</w:t>
      </w:r>
      <w:r w:rsidRPr="00AB5E59">
        <w:rPr>
          <w:i/>
        </w:rPr>
        <w:t>apital</w:t>
      </w:r>
    </w:p>
    <w:p w14:paraId="00DF6EE9" w14:textId="77777777" w:rsidR="00AC09EF" w:rsidRDefault="00B54D0E" w:rsidP="001F3035">
      <w:r w:rsidRPr="00A16CA1">
        <w:t xml:space="preserve">Library interest in IAs and IC can be traced back to the period when the concepts gained prominence in the management literature during the late 1990s (Barron, 1995; Corrall, 1998; </w:t>
      </w:r>
      <w:proofErr w:type="spellStart"/>
      <w:r w:rsidRPr="00A16CA1">
        <w:t>Dakers</w:t>
      </w:r>
      <w:proofErr w:type="spellEnd"/>
      <w:r w:rsidRPr="00A16CA1">
        <w:t>, 1998; Koenig, 1997; 1998a; 1998b). Early discussion in the library and information science literature was mostly about the potential involvement of library and information professionals in managing and measuring IC as knowledge resources on behalf of their parent organizations (Corrall, 1998; Koenig, 1997; 1998a; 1998b; Snyder &amp; Pierce, 2002) and not concerned specifically with managing the knowledge capital of libraries, or only in the context of its impact on organizational IC (</w:t>
      </w:r>
      <w:proofErr w:type="spellStart"/>
      <w:r w:rsidRPr="00A16CA1">
        <w:t>Huotari</w:t>
      </w:r>
      <w:proofErr w:type="spellEnd"/>
      <w:r w:rsidRPr="00A16CA1">
        <w:t xml:space="preserve"> &amp; </w:t>
      </w:r>
      <w:proofErr w:type="spellStart"/>
      <w:r w:rsidRPr="00A16CA1">
        <w:t>Iivonen</w:t>
      </w:r>
      <w:proofErr w:type="spellEnd"/>
      <w:r w:rsidRPr="00A16CA1">
        <w:t xml:space="preserve">, 2005; </w:t>
      </w:r>
      <w:proofErr w:type="spellStart"/>
      <w:r w:rsidRPr="00A16CA1">
        <w:t>Iivonen</w:t>
      </w:r>
      <w:proofErr w:type="spellEnd"/>
      <w:r w:rsidRPr="00A16CA1">
        <w:t xml:space="preserve"> &amp; </w:t>
      </w:r>
      <w:proofErr w:type="spellStart"/>
      <w:r w:rsidRPr="00A16CA1">
        <w:t>Huorai</w:t>
      </w:r>
      <w:proofErr w:type="spellEnd"/>
      <w:r w:rsidRPr="00A16CA1">
        <w:t xml:space="preserve">, 2007). However, Barron (1995) used the concept of IC to argue for investment in the education of library workers and creation of learning communities for rural public libraries in the US, and </w:t>
      </w:r>
      <w:proofErr w:type="spellStart"/>
      <w:r w:rsidRPr="00A16CA1">
        <w:t>Dakers</w:t>
      </w:r>
      <w:proofErr w:type="spellEnd"/>
      <w:r w:rsidRPr="00A16CA1">
        <w:t xml:space="preserve"> (1998, p. 235) used the term “living intellectual capital” to distinguish the human-</w:t>
      </w:r>
      <w:proofErr w:type="spellStart"/>
      <w:r w:rsidRPr="00A16CA1">
        <w:t>centred</w:t>
      </w:r>
      <w:proofErr w:type="spellEnd"/>
      <w:r w:rsidRPr="00A16CA1">
        <w:t xml:space="preserve"> IC produced by library staff from the capital represented in its stock of books and other materials in her report of a skills audit conducted for the British Library’s consultancy service. </w:t>
      </w:r>
    </w:p>
    <w:p w14:paraId="2D635D6F" w14:textId="0C27D8A3" w:rsidR="001028D5" w:rsidRPr="00861103" w:rsidRDefault="00B54D0E" w:rsidP="001F3035">
      <w:r w:rsidRPr="00A65B1E">
        <w:t>More substantive empirical investigations of IA evaluation were conducted in LIS during the following decade (</w:t>
      </w:r>
      <w:proofErr w:type="spellStart"/>
      <w:r w:rsidRPr="00A65B1E">
        <w:t>Asonitis</w:t>
      </w:r>
      <w:proofErr w:type="spellEnd"/>
      <w:r w:rsidRPr="00A65B1E">
        <w:t xml:space="preserve"> &amp; </w:t>
      </w:r>
      <w:proofErr w:type="spellStart"/>
      <w:r w:rsidRPr="00A65B1E">
        <w:t>Kostagiolas</w:t>
      </w:r>
      <w:proofErr w:type="spellEnd"/>
      <w:r w:rsidRPr="00A65B1E">
        <w:t xml:space="preserve">, 2010; Corrall &amp; </w:t>
      </w:r>
      <w:proofErr w:type="spellStart"/>
      <w:r w:rsidRPr="00A65B1E">
        <w:t>Sriborisutsakul</w:t>
      </w:r>
      <w:proofErr w:type="spellEnd"/>
      <w:r w:rsidRPr="00A65B1E">
        <w:t xml:space="preserve">, 2010; Van Deventer, 2002), along with some smaller-scale studies </w:t>
      </w:r>
      <w:r w:rsidR="00182D57" w:rsidRPr="00A65B1E">
        <w:t>dealing with</w:t>
      </w:r>
      <w:r w:rsidR="002C5052" w:rsidRPr="00A65B1E">
        <w:t xml:space="preserve"> particular </w:t>
      </w:r>
      <w:r w:rsidR="00182D57" w:rsidRPr="00A65B1E">
        <w:t xml:space="preserve"> </w:t>
      </w:r>
      <w:r w:rsidR="00D62172" w:rsidRPr="00A65B1E">
        <w:t>component</w:t>
      </w:r>
      <w:r w:rsidR="00A70ED8" w:rsidRPr="00A65B1E">
        <w:t>s</w:t>
      </w:r>
      <w:r w:rsidR="00182D57" w:rsidRPr="00A65B1E">
        <w:t xml:space="preserve"> of IC</w:t>
      </w:r>
      <w:r w:rsidR="00A70ED8" w:rsidRPr="00A65B1E">
        <w:t xml:space="preserve"> (</w:t>
      </w:r>
      <w:proofErr w:type="spellStart"/>
      <w:r w:rsidR="00A70ED8" w:rsidRPr="00A65B1E">
        <w:t>Cribb</w:t>
      </w:r>
      <w:proofErr w:type="spellEnd"/>
      <w:r w:rsidR="00A70ED8" w:rsidRPr="00A65B1E">
        <w:t xml:space="preserve">, 2005; </w:t>
      </w:r>
      <w:proofErr w:type="spellStart"/>
      <w:r w:rsidRPr="00A65B1E">
        <w:t>Mushi</w:t>
      </w:r>
      <w:proofErr w:type="spellEnd"/>
      <w:r w:rsidRPr="00A65B1E">
        <w:t>, 2009</w:t>
      </w:r>
      <w:r w:rsidR="00A70ED8" w:rsidRPr="00A65B1E">
        <w:t xml:space="preserve">), </w:t>
      </w:r>
      <w:r w:rsidRPr="00A65B1E">
        <w:t>and a continuing flow of contributions to the development of conceptual understanding in the LIS sector (</w:t>
      </w:r>
      <w:proofErr w:type="spellStart"/>
      <w:r w:rsidRPr="00A65B1E">
        <w:t>Huotari</w:t>
      </w:r>
      <w:proofErr w:type="spellEnd"/>
      <w:r w:rsidRPr="00A65B1E">
        <w:t xml:space="preserve"> &amp; </w:t>
      </w:r>
      <w:proofErr w:type="spellStart"/>
      <w:r w:rsidRPr="00A65B1E">
        <w:t>Iivonen</w:t>
      </w:r>
      <w:proofErr w:type="spellEnd"/>
      <w:r w:rsidRPr="00A65B1E">
        <w:t xml:space="preserve">, 2005; </w:t>
      </w:r>
      <w:proofErr w:type="spellStart"/>
      <w:r w:rsidRPr="00A65B1E">
        <w:t>Iivonen</w:t>
      </w:r>
      <w:proofErr w:type="spellEnd"/>
      <w:r w:rsidRPr="00A65B1E">
        <w:t xml:space="preserve"> &amp; </w:t>
      </w:r>
      <w:proofErr w:type="spellStart"/>
      <w:r w:rsidRPr="00A65B1E">
        <w:t>Huotari</w:t>
      </w:r>
      <w:proofErr w:type="spellEnd"/>
      <w:r w:rsidRPr="00A65B1E">
        <w:t xml:space="preserve">, 2007; </w:t>
      </w:r>
      <w:proofErr w:type="spellStart"/>
      <w:r w:rsidRPr="00A65B1E">
        <w:t>Kostagiolas</w:t>
      </w:r>
      <w:proofErr w:type="spellEnd"/>
      <w:r w:rsidRPr="00A65B1E">
        <w:t xml:space="preserve">, 2012; 2013; </w:t>
      </w:r>
      <w:proofErr w:type="spellStart"/>
      <w:r w:rsidRPr="00A65B1E">
        <w:t>Kostagiolas</w:t>
      </w:r>
      <w:proofErr w:type="spellEnd"/>
      <w:r w:rsidRPr="00A65B1E">
        <w:t xml:space="preserve"> &amp; </w:t>
      </w:r>
      <w:proofErr w:type="spellStart"/>
      <w:r w:rsidRPr="00A65B1E">
        <w:t>Asonitis</w:t>
      </w:r>
      <w:proofErr w:type="spellEnd"/>
      <w:r w:rsidRPr="00A65B1E">
        <w:t xml:space="preserve">, 2009; 2011; Pierce &amp; Snyder, 2003; Town &amp; </w:t>
      </w:r>
      <w:proofErr w:type="spellStart"/>
      <w:r w:rsidRPr="00A65B1E">
        <w:t>Kyrillidou</w:t>
      </w:r>
      <w:proofErr w:type="spellEnd"/>
      <w:r w:rsidRPr="00A65B1E">
        <w:t xml:space="preserve">, 2013; White 2007a; 2007b; 2007c). </w:t>
      </w:r>
      <w:r w:rsidR="00C82503" w:rsidRPr="00A65B1E">
        <w:t xml:space="preserve">There is a </w:t>
      </w:r>
      <w:r w:rsidR="004C72DD" w:rsidRPr="00A65B1E">
        <w:t>also a</w:t>
      </w:r>
      <w:r w:rsidR="00C82503" w:rsidRPr="00A65B1E">
        <w:t xml:space="preserve"> </w:t>
      </w:r>
      <w:r w:rsidR="00F07FD2" w:rsidRPr="00A65B1E">
        <w:t xml:space="preserve">growing </w:t>
      </w:r>
      <w:r w:rsidR="00C82503" w:rsidRPr="00A65B1E">
        <w:t xml:space="preserve">strand of work investigating the related </w:t>
      </w:r>
      <w:r w:rsidR="00861103" w:rsidRPr="00A65B1E">
        <w:t>area</w:t>
      </w:r>
      <w:r w:rsidR="00C82503" w:rsidRPr="00A65B1E">
        <w:t xml:space="preserve"> of </w:t>
      </w:r>
      <w:r w:rsidR="00861103" w:rsidRPr="00A65B1E">
        <w:rPr>
          <w:i/>
        </w:rPr>
        <w:t xml:space="preserve">social </w:t>
      </w:r>
      <w:r w:rsidR="00861103" w:rsidRPr="00A65B1E">
        <w:t xml:space="preserve">capital </w:t>
      </w:r>
      <w:r w:rsidR="00F07FD2" w:rsidRPr="00A65B1E">
        <w:t>in public libraries (</w:t>
      </w:r>
      <w:r w:rsidR="00F07FD2" w:rsidRPr="00A65B1E">
        <w:rPr>
          <w:i/>
        </w:rPr>
        <w:t>see, for example</w:t>
      </w:r>
      <w:r w:rsidR="00F07FD2" w:rsidRPr="00A65B1E">
        <w:t>, Ferguson, 2</w:t>
      </w:r>
      <w:r w:rsidR="007166D0" w:rsidRPr="00A65B1E">
        <w:t xml:space="preserve">012; </w:t>
      </w:r>
      <w:proofErr w:type="spellStart"/>
      <w:r w:rsidR="007166D0" w:rsidRPr="00A65B1E">
        <w:t>Griffis</w:t>
      </w:r>
      <w:proofErr w:type="spellEnd"/>
      <w:r w:rsidR="007166D0" w:rsidRPr="00A65B1E">
        <w:t xml:space="preserve"> &amp; </w:t>
      </w:r>
      <w:r w:rsidR="007D6A6C" w:rsidRPr="00A65B1E">
        <w:t>Johnson, 2014;</w:t>
      </w:r>
      <w:r w:rsidR="00E3635B" w:rsidRPr="00A65B1E">
        <w:t xml:space="preserve"> </w:t>
      </w:r>
      <w:proofErr w:type="spellStart"/>
      <w:r w:rsidR="007166D0" w:rsidRPr="00A65B1E">
        <w:t>Svendsen</w:t>
      </w:r>
      <w:proofErr w:type="spellEnd"/>
      <w:r w:rsidR="007166D0" w:rsidRPr="00A65B1E">
        <w:t xml:space="preserve">, 2013; </w:t>
      </w:r>
      <w:r w:rsidR="007D6A6C" w:rsidRPr="00A65B1E">
        <w:t xml:space="preserve">and </w:t>
      </w:r>
      <w:proofErr w:type="spellStart"/>
      <w:r w:rsidR="00EC6E21" w:rsidRPr="00A65B1E">
        <w:rPr>
          <w:color w:val="1A1A1A"/>
        </w:rPr>
        <w:t>Vårheim</w:t>
      </w:r>
      <w:proofErr w:type="spellEnd"/>
      <w:r w:rsidR="00EC6E21" w:rsidRPr="00A65B1E">
        <w:rPr>
          <w:color w:val="1A1A1A"/>
        </w:rPr>
        <w:t>, 2011</w:t>
      </w:r>
      <w:r w:rsidR="001E3DAE" w:rsidRPr="00A65B1E">
        <w:rPr>
          <w:color w:val="1A1A1A"/>
        </w:rPr>
        <w:t>)</w:t>
      </w:r>
      <w:r w:rsidR="00B75CC9" w:rsidRPr="00A65B1E">
        <w:rPr>
          <w:color w:val="1A1A1A"/>
        </w:rPr>
        <w:t>.</w:t>
      </w:r>
    </w:p>
    <w:p w14:paraId="448BE2E1" w14:textId="0B325D80" w:rsidR="00AC09EF" w:rsidRDefault="00B54D0E" w:rsidP="001F3035">
      <w:r w:rsidRPr="00A16CA1">
        <w:t xml:space="preserve">The literature demonstrates global interest in the topic among the academic and practitioner communities, but with significantly more contributions from Europe than America: empirical work includes case studies of university libraries in </w:t>
      </w:r>
      <w:r w:rsidR="00A455B3">
        <w:t>Tanzania and</w:t>
      </w:r>
      <w:r w:rsidRPr="00A16CA1">
        <w:t xml:space="preserve"> Thailand; surveys of public libraries in Denmark and Greece; and a case study of a s</w:t>
      </w:r>
      <w:r w:rsidR="00A455B3">
        <w:t xml:space="preserve">pecialist LIS in South Africa; </w:t>
      </w:r>
      <w:r w:rsidRPr="00A16CA1">
        <w:t xml:space="preserve">there are </w:t>
      </w:r>
      <w:r w:rsidR="00A455B3">
        <w:t xml:space="preserve">also </w:t>
      </w:r>
      <w:r w:rsidRPr="00A16CA1">
        <w:t>conceptual contributions from Finland, Greece, the UK and US</w:t>
      </w:r>
      <w:r w:rsidR="00AC09EF">
        <w:t>.</w:t>
      </w:r>
    </w:p>
    <w:p w14:paraId="78C9C41E" w14:textId="624E7F12" w:rsidR="00AC09EF" w:rsidRDefault="00390ED3" w:rsidP="001F3035">
      <w:r>
        <w:t>The e</w:t>
      </w:r>
      <w:r w:rsidR="00AC09EF" w:rsidRPr="00A16CA1">
        <w:t xml:space="preserve">mpirical research </w:t>
      </w:r>
      <w:r>
        <w:t xml:space="preserve">typically </w:t>
      </w:r>
      <w:r w:rsidR="003834D1">
        <w:t>uses</w:t>
      </w:r>
      <w:r w:rsidR="00AC09EF" w:rsidRPr="00A16CA1">
        <w:t xml:space="preserve"> mixed methods, with interviews, questionnaires and documents as the primary data sources; two studies used the Delphi technique, but only one used only quantitative techniques. Scorecard approaches have emerged as a common strategy for assessing library intangibles (Corrall &amp; </w:t>
      </w:r>
      <w:proofErr w:type="spellStart"/>
      <w:r w:rsidR="00AC09EF" w:rsidRPr="00A16CA1">
        <w:t>Sriborisutsakul</w:t>
      </w:r>
      <w:proofErr w:type="spellEnd"/>
      <w:r w:rsidR="00AC09EF" w:rsidRPr="00A16CA1">
        <w:t xml:space="preserve">, 2010; </w:t>
      </w:r>
      <w:proofErr w:type="spellStart"/>
      <w:r w:rsidR="00AC09EF" w:rsidRPr="00A16CA1">
        <w:t>Cribb</w:t>
      </w:r>
      <w:proofErr w:type="spellEnd"/>
      <w:r w:rsidR="00AC09EF" w:rsidRPr="00A16CA1">
        <w:t xml:space="preserve">, 2005; Town &amp; </w:t>
      </w:r>
      <w:proofErr w:type="spellStart"/>
      <w:r w:rsidR="00AC09EF" w:rsidRPr="00A16CA1">
        <w:t>Kyrillidou</w:t>
      </w:r>
      <w:proofErr w:type="spellEnd"/>
      <w:r w:rsidR="00AC09EF" w:rsidRPr="00A16CA1">
        <w:t xml:space="preserve">, 2013; Van Deventer &amp; </w:t>
      </w:r>
      <w:proofErr w:type="spellStart"/>
      <w:r w:rsidR="00AC09EF" w:rsidRPr="00A16CA1">
        <w:t>Snyman</w:t>
      </w:r>
      <w:proofErr w:type="spellEnd"/>
      <w:r w:rsidR="00AC09EF" w:rsidRPr="00A16CA1">
        <w:t>, 2004)</w:t>
      </w:r>
      <w:r w:rsidR="00AC09EF">
        <w:t xml:space="preserve">. </w:t>
      </w:r>
    </w:p>
    <w:p w14:paraId="6903E941" w14:textId="7CE6DE0E" w:rsidR="007412AF" w:rsidRDefault="007412AF" w:rsidP="00ED375D">
      <w:r>
        <w:t>Findings from some studies of</w:t>
      </w:r>
      <w:r w:rsidRPr="00A16CA1">
        <w:t xml:space="preserve"> organizational learning and knowledge sharing</w:t>
      </w:r>
      <w:r>
        <w:t xml:space="preserve"> within particular communities</w:t>
      </w:r>
      <w:r w:rsidRPr="00A16CA1">
        <w:t xml:space="preserve"> are </w:t>
      </w:r>
      <w:r>
        <w:t>mostly</w:t>
      </w:r>
      <w:r w:rsidRPr="00A16CA1">
        <w:t xml:space="preserve"> of local interest (</w:t>
      </w:r>
      <w:r w:rsidR="006C2338">
        <w:t xml:space="preserve">e.g., </w:t>
      </w:r>
      <w:proofErr w:type="spellStart"/>
      <w:r w:rsidRPr="00A16CA1">
        <w:t>Dakers</w:t>
      </w:r>
      <w:proofErr w:type="spellEnd"/>
      <w:r w:rsidRPr="00A16CA1">
        <w:t xml:space="preserve">, 1998; </w:t>
      </w:r>
      <w:proofErr w:type="spellStart"/>
      <w:r w:rsidR="006C2338">
        <w:t>Mushi</w:t>
      </w:r>
      <w:proofErr w:type="spellEnd"/>
      <w:r w:rsidR="006C2338">
        <w:t>, 2009)</w:t>
      </w:r>
      <w:r w:rsidR="000C3A11">
        <w:t>.</w:t>
      </w:r>
      <w:r w:rsidRPr="00A16CA1">
        <w:t xml:space="preserve"> </w:t>
      </w:r>
      <w:r w:rsidR="000C3A11">
        <w:t>However,</w:t>
      </w:r>
      <w:r w:rsidRPr="00A16CA1">
        <w:t xml:space="preserve"> </w:t>
      </w:r>
      <w:r>
        <w:t>other</w:t>
      </w:r>
      <w:r w:rsidRPr="00A16CA1">
        <w:t xml:space="preserve"> empirical </w:t>
      </w:r>
      <w:r>
        <w:t>investigations of</w:t>
      </w:r>
      <w:r w:rsidRPr="00A16CA1">
        <w:t xml:space="preserve"> the application of IC concepts and </w:t>
      </w:r>
      <w:r>
        <w:t>techniques in particular LIS have</w:t>
      </w:r>
      <w:r w:rsidRPr="00A16CA1">
        <w:t xml:space="preserve"> produced frameworks, maps, and models of value beyond the immediate context that contribute to our conceptual understanding </w:t>
      </w:r>
      <w:r>
        <w:t>and/or offer process guidelines;</w:t>
      </w:r>
      <w:r w:rsidRPr="00A16CA1">
        <w:t xml:space="preserve"> </w:t>
      </w:r>
      <w:r>
        <w:t>notably</w:t>
      </w:r>
      <w:r w:rsidRPr="00A16CA1">
        <w:t xml:space="preserve"> the public library investigations by </w:t>
      </w:r>
      <w:proofErr w:type="spellStart"/>
      <w:r w:rsidRPr="00A16CA1">
        <w:t>Asonitis</w:t>
      </w:r>
      <w:proofErr w:type="spellEnd"/>
      <w:r w:rsidRPr="00A16CA1">
        <w:t xml:space="preserve"> and </w:t>
      </w:r>
      <w:proofErr w:type="spellStart"/>
      <w:r w:rsidRPr="00A16CA1">
        <w:t>Kostagiolas</w:t>
      </w:r>
      <w:proofErr w:type="spellEnd"/>
      <w:r w:rsidRPr="00A16CA1">
        <w:t xml:space="preserve"> (2010) and </w:t>
      </w:r>
      <w:proofErr w:type="spellStart"/>
      <w:r w:rsidRPr="00A16CA1">
        <w:t>Svendsen</w:t>
      </w:r>
      <w:proofErr w:type="spellEnd"/>
      <w:r w:rsidRPr="00A16CA1">
        <w:t xml:space="preserve">, 2013, and especially the doctoral studies by </w:t>
      </w:r>
      <w:proofErr w:type="spellStart"/>
      <w:r w:rsidRPr="00A16CA1">
        <w:t>Sriborisutsakul</w:t>
      </w:r>
      <w:proofErr w:type="spellEnd"/>
      <w:r w:rsidRPr="00A16CA1">
        <w:t xml:space="preserve"> (2010)</w:t>
      </w:r>
      <w:r w:rsidR="00F25B8B">
        <w:t xml:space="preserve"> in academic libraries</w:t>
      </w:r>
      <w:r w:rsidRPr="00A16CA1">
        <w:t xml:space="preserve"> and Van Deventer (2002)</w:t>
      </w:r>
      <w:r w:rsidR="00F25B8B">
        <w:t xml:space="preserve"> in a special LIS</w:t>
      </w:r>
      <w:r w:rsidRPr="00A16CA1">
        <w:t xml:space="preserve">. </w:t>
      </w:r>
      <w:r w:rsidR="002273C1">
        <w:t>C</w:t>
      </w:r>
      <w:r w:rsidRPr="00A16CA1">
        <w:t>onceptual papers and review articles have made useful contributions in identifying and categorizing library examples of knowledge processes/IAs (</w:t>
      </w:r>
      <w:proofErr w:type="spellStart"/>
      <w:r w:rsidRPr="00A16CA1">
        <w:t>Huotari</w:t>
      </w:r>
      <w:proofErr w:type="spellEnd"/>
      <w:r w:rsidRPr="00A16CA1">
        <w:t xml:space="preserve"> &amp; </w:t>
      </w:r>
      <w:proofErr w:type="spellStart"/>
      <w:r w:rsidRPr="00A16CA1">
        <w:t>Iivonen</w:t>
      </w:r>
      <w:proofErr w:type="spellEnd"/>
      <w:r w:rsidRPr="00A16CA1">
        <w:t xml:space="preserve">, 2005; </w:t>
      </w:r>
      <w:proofErr w:type="spellStart"/>
      <w:r w:rsidRPr="00A16CA1">
        <w:t>Iivonen</w:t>
      </w:r>
      <w:proofErr w:type="spellEnd"/>
      <w:r w:rsidRPr="00A16CA1">
        <w:t xml:space="preserve"> &amp; </w:t>
      </w:r>
      <w:proofErr w:type="spellStart"/>
      <w:r w:rsidRPr="00A16CA1">
        <w:t>Huotari</w:t>
      </w:r>
      <w:proofErr w:type="spellEnd"/>
      <w:r w:rsidRPr="00A16CA1">
        <w:t xml:space="preserve">, 2007; </w:t>
      </w:r>
      <w:proofErr w:type="spellStart"/>
      <w:r w:rsidRPr="00A16CA1">
        <w:t>Kostagiolas</w:t>
      </w:r>
      <w:proofErr w:type="spellEnd"/>
      <w:r w:rsidRPr="00A16CA1">
        <w:t xml:space="preserve"> &amp; </w:t>
      </w:r>
      <w:proofErr w:type="spellStart"/>
      <w:r w:rsidRPr="00A16CA1">
        <w:t>Asonitis</w:t>
      </w:r>
      <w:proofErr w:type="spellEnd"/>
      <w:r w:rsidRPr="00A16CA1">
        <w:t>, 2009; 2011) and have also offered purpose-designed frameworks for managing and measuring library IAs (</w:t>
      </w:r>
      <w:proofErr w:type="spellStart"/>
      <w:r w:rsidRPr="00A16CA1">
        <w:t>Kostagiolas</w:t>
      </w:r>
      <w:proofErr w:type="spellEnd"/>
      <w:r w:rsidRPr="00A16CA1">
        <w:t xml:space="preserve">, 2013; </w:t>
      </w:r>
      <w:proofErr w:type="spellStart"/>
      <w:r w:rsidRPr="00A16CA1">
        <w:t>Kostagiolas</w:t>
      </w:r>
      <w:proofErr w:type="spellEnd"/>
      <w:r w:rsidRPr="00A16CA1">
        <w:t xml:space="preserve"> &amp; </w:t>
      </w:r>
      <w:proofErr w:type="spellStart"/>
      <w:r w:rsidRPr="00A16CA1">
        <w:t>Asonitis</w:t>
      </w:r>
      <w:proofErr w:type="spellEnd"/>
      <w:r w:rsidRPr="00A16CA1">
        <w:t>, 2009)</w:t>
      </w:r>
      <w:r w:rsidR="002273C1">
        <w:t>,</w:t>
      </w:r>
      <w:r w:rsidRPr="00A16CA1">
        <w:t xml:space="preserve"> or proposed adaptations of business tools for LIS (Pierce &amp; Snyder, 2003; Town &amp; </w:t>
      </w:r>
      <w:proofErr w:type="spellStart"/>
      <w:r w:rsidRPr="00A16CA1">
        <w:t>Kyrillidou</w:t>
      </w:r>
      <w:proofErr w:type="spellEnd"/>
      <w:r w:rsidRPr="00A16CA1">
        <w:t>, 2013).</w:t>
      </w:r>
    </w:p>
    <w:p w14:paraId="091DDFA4" w14:textId="59A3900D" w:rsidR="007A2863" w:rsidRDefault="00D17207" w:rsidP="007A2863">
      <w:pPr>
        <w:spacing w:before="40" w:after="0"/>
        <w:ind w:firstLine="0"/>
        <w:rPr>
          <w:i/>
        </w:rPr>
      </w:pPr>
      <w:r>
        <w:rPr>
          <w:i/>
        </w:rPr>
        <w:t>Library classifications of in</w:t>
      </w:r>
      <w:r w:rsidR="00D6484F">
        <w:rPr>
          <w:i/>
        </w:rPr>
        <w:t>tangible assets</w:t>
      </w:r>
    </w:p>
    <w:p w14:paraId="4F9ED295" w14:textId="77777777" w:rsidR="00A348E5" w:rsidRDefault="00B75D1C" w:rsidP="00574B5D">
      <w:r>
        <w:t>L</w:t>
      </w:r>
      <w:r w:rsidR="0039678B">
        <w:t xml:space="preserve">ibrary literature </w:t>
      </w:r>
      <w:r>
        <w:t xml:space="preserve">usually </w:t>
      </w:r>
      <w:r w:rsidR="0039678B">
        <w:t>adopts</w:t>
      </w:r>
      <w:r w:rsidR="00307CA4">
        <w:t xml:space="preserve"> the standard threefold categorization of IC into human, structural or organizational, and relational capital</w:t>
      </w:r>
      <w:r w:rsidR="00942403">
        <w:t xml:space="preserve">, </w:t>
      </w:r>
      <w:r w:rsidR="00843EE1">
        <w:t xml:space="preserve">but </w:t>
      </w:r>
      <w:r w:rsidR="00942403">
        <w:t>with</w:t>
      </w:r>
      <w:r w:rsidR="00843EE1">
        <w:t xml:space="preserve"> </w:t>
      </w:r>
      <w:r w:rsidR="002C7AD1">
        <w:t>some</w:t>
      </w:r>
      <w:r w:rsidR="00843EE1">
        <w:t xml:space="preserve"> varia</w:t>
      </w:r>
      <w:r w:rsidR="00B13852">
        <w:t>tions</w:t>
      </w:r>
      <w:r w:rsidR="0039678B">
        <w:t xml:space="preserve"> in terminology</w:t>
      </w:r>
      <w:r w:rsidR="00B13852">
        <w:t xml:space="preserve">; in a few cases </w:t>
      </w:r>
      <w:r w:rsidR="0039678B">
        <w:t xml:space="preserve">scholars </w:t>
      </w:r>
      <w:r w:rsidR="00B16FED">
        <w:t>propose</w:t>
      </w:r>
      <w:r w:rsidR="00843EE1">
        <w:t xml:space="preserve"> </w:t>
      </w:r>
      <w:r w:rsidR="00855EB2">
        <w:t>new or significantly expanded elements</w:t>
      </w:r>
      <w:r w:rsidR="004C677F">
        <w:t>, notably for relationship</w:t>
      </w:r>
      <w:r w:rsidR="009C1800">
        <w:t xml:space="preserve"> assets</w:t>
      </w:r>
      <w:r w:rsidR="007A4386">
        <w:t>.</w:t>
      </w:r>
      <w:r w:rsidR="000B56DE">
        <w:t xml:space="preserve"> </w:t>
      </w:r>
      <w:proofErr w:type="spellStart"/>
      <w:r w:rsidR="000B56DE">
        <w:t>Kostagiolas</w:t>
      </w:r>
      <w:proofErr w:type="spellEnd"/>
      <w:r w:rsidR="000B56DE">
        <w:t xml:space="preserve"> (2012; 2013)</w:t>
      </w:r>
      <w:r w:rsidR="00CA73AA">
        <w:t xml:space="preserve"> </w:t>
      </w:r>
      <w:r w:rsidR="007E5CCA">
        <w:t xml:space="preserve">suggests </w:t>
      </w:r>
      <w:r w:rsidR="00CA73AA">
        <w:t xml:space="preserve">the </w:t>
      </w:r>
      <w:proofErr w:type="spellStart"/>
      <w:r w:rsidR="00CA73AA">
        <w:t>Intellectus</w:t>
      </w:r>
      <w:proofErr w:type="spellEnd"/>
      <w:r w:rsidR="00CB4F5D">
        <w:t xml:space="preserve"> </w:t>
      </w:r>
      <w:r w:rsidR="007E5CCA">
        <w:t xml:space="preserve">public sector IC </w:t>
      </w:r>
      <w:r w:rsidR="00CB4F5D">
        <w:t xml:space="preserve">model </w:t>
      </w:r>
      <w:r w:rsidR="00257421" w:rsidRPr="009554E8">
        <w:t>(</w:t>
      </w:r>
      <w:proofErr w:type="spellStart"/>
      <w:r w:rsidR="001B49D9" w:rsidRPr="009554E8">
        <w:t>Ramírez</w:t>
      </w:r>
      <w:proofErr w:type="spellEnd"/>
      <w:r w:rsidR="001B49D9" w:rsidRPr="009554E8">
        <w:t>, 2010, p. 254)</w:t>
      </w:r>
      <w:r w:rsidR="00A11132">
        <w:t>,</w:t>
      </w:r>
      <w:r w:rsidR="001B49D9" w:rsidRPr="009554E8">
        <w:t xml:space="preserve"> which subdivides </w:t>
      </w:r>
      <w:r w:rsidR="00A11132">
        <w:t xml:space="preserve">the </w:t>
      </w:r>
      <w:r w:rsidR="001B49D9" w:rsidRPr="009554E8">
        <w:t xml:space="preserve">structural </w:t>
      </w:r>
      <w:r w:rsidR="00A11132">
        <w:t>component</w:t>
      </w:r>
      <w:r w:rsidR="001B49D9" w:rsidRPr="009554E8">
        <w:t xml:space="preserve"> into</w:t>
      </w:r>
      <w:r w:rsidR="00752D89">
        <w:t xml:space="preserve"> </w:t>
      </w:r>
      <w:r w:rsidR="009554E8" w:rsidRPr="009554E8">
        <w:t>Organizational, Technological, and Social capital</w:t>
      </w:r>
      <w:r w:rsidR="00D016A9">
        <w:t>,</w:t>
      </w:r>
      <w:r w:rsidR="00752D89">
        <w:t xml:space="preserve"> </w:t>
      </w:r>
      <w:r w:rsidR="00D016A9">
        <w:t xml:space="preserve">to aid </w:t>
      </w:r>
      <w:r w:rsidR="0084623A">
        <w:t xml:space="preserve">understanding </w:t>
      </w:r>
      <w:r w:rsidR="00D016A9">
        <w:t xml:space="preserve">of </w:t>
      </w:r>
      <w:r w:rsidR="00A11132">
        <w:t xml:space="preserve">the </w:t>
      </w:r>
      <w:r w:rsidR="00BA2DF8">
        <w:t xml:space="preserve">social value </w:t>
      </w:r>
      <w:r w:rsidR="00A11132">
        <w:t>created</w:t>
      </w:r>
      <w:r w:rsidR="00BA2DF8">
        <w:t xml:space="preserve"> by (public) libraries.</w:t>
      </w:r>
      <w:r w:rsidR="00CF2EF1">
        <w:t xml:space="preserve"> </w:t>
      </w:r>
    </w:p>
    <w:p w14:paraId="059BC44D" w14:textId="230D27FB" w:rsidR="00FE57EE" w:rsidRDefault="00CE16D6" w:rsidP="00574B5D">
      <w:proofErr w:type="spellStart"/>
      <w:r>
        <w:t>Svendsen</w:t>
      </w:r>
      <w:proofErr w:type="spellEnd"/>
      <w:r w:rsidR="006D3C05">
        <w:t xml:space="preserve"> (2013</w:t>
      </w:r>
      <w:r w:rsidR="005B3578">
        <w:t xml:space="preserve">, </w:t>
      </w:r>
      <w:r w:rsidR="00C42ED4">
        <w:t>p</w:t>
      </w:r>
      <w:r w:rsidR="005B3578">
        <w:t>p. 58</w:t>
      </w:r>
      <w:r w:rsidR="00854B85">
        <w:t>, 67</w:t>
      </w:r>
      <w:r w:rsidR="004575F9">
        <w:t xml:space="preserve">) </w:t>
      </w:r>
      <w:r w:rsidR="00C845A9">
        <w:t>draw</w:t>
      </w:r>
      <w:r w:rsidR="00C22718">
        <w:t>s</w:t>
      </w:r>
      <w:r w:rsidR="00C845A9">
        <w:t xml:space="preserve"> on the work of Putnam (2000)</w:t>
      </w:r>
      <w:r w:rsidR="00830F30">
        <w:t xml:space="preserve"> </w:t>
      </w:r>
      <w:r w:rsidR="00C22718">
        <w:t xml:space="preserve">to </w:t>
      </w:r>
      <w:r w:rsidR="00A06713">
        <w:t>define</w:t>
      </w:r>
      <w:r w:rsidR="006E16D0">
        <w:t xml:space="preserve"> </w:t>
      </w:r>
      <w:r w:rsidR="004371D8">
        <w:t xml:space="preserve">different forms of </w:t>
      </w:r>
      <w:r w:rsidR="0087188C" w:rsidRPr="0087188C">
        <w:rPr>
          <w:i/>
        </w:rPr>
        <w:t>micro-</w:t>
      </w:r>
      <w:r w:rsidR="0087188C">
        <w:t xml:space="preserve"> and </w:t>
      </w:r>
      <w:proofErr w:type="spellStart"/>
      <w:r w:rsidR="0087188C" w:rsidRPr="0087188C">
        <w:rPr>
          <w:i/>
        </w:rPr>
        <w:t>meso</w:t>
      </w:r>
      <w:proofErr w:type="spellEnd"/>
      <w:r w:rsidR="0087188C" w:rsidRPr="0087188C">
        <w:rPr>
          <w:i/>
        </w:rPr>
        <w:t xml:space="preserve">-level </w:t>
      </w:r>
      <w:r w:rsidR="005B3578">
        <w:t xml:space="preserve">social capital (Bonding, Bridging, Institutional) </w:t>
      </w:r>
      <w:r w:rsidR="00A06713">
        <w:t>created by</w:t>
      </w:r>
      <w:r w:rsidR="00661875">
        <w:t xml:space="preserve"> public libraries in Denmark</w:t>
      </w:r>
      <w:r w:rsidR="00700C71">
        <w:t>;</w:t>
      </w:r>
      <w:r w:rsidR="003D739F">
        <w:t xml:space="preserve"> his </w:t>
      </w:r>
      <w:r w:rsidR="00DD73B7">
        <w:t xml:space="preserve">classification of different types </w:t>
      </w:r>
      <w:r w:rsidR="006E16D0">
        <w:t>of networks/relationships</w:t>
      </w:r>
      <w:r w:rsidR="00E068EF">
        <w:t xml:space="preserve"> has</w:t>
      </w:r>
      <w:r w:rsidR="00943708">
        <w:t xml:space="preserve"> potential application in other LIS settings</w:t>
      </w:r>
      <w:r w:rsidR="00472A3E">
        <w:t xml:space="preserve">, </w:t>
      </w:r>
      <w:r w:rsidR="0036240B">
        <w:t>particularly academic libraries</w:t>
      </w:r>
      <w:r w:rsidR="00DD084F">
        <w:t xml:space="preserve"> (e.g., supporting interdisciplinary research communities)</w:t>
      </w:r>
      <w:r w:rsidR="0036240B">
        <w:t xml:space="preserve">. </w:t>
      </w:r>
      <w:r w:rsidR="0082315C">
        <w:t>Figure 2</w:t>
      </w:r>
      <w:r w:rsidR="00464049">
        <w:t xml:space="preserve"> displays</w:t>
      </w:r>
      <w:r w:rsidR="000D5C91">
        <w:t xml:space="preserve"> </w:t>
      </w:r>
      <w:r w:rsidR="00506115">
        <w:t xml:space="preserve">the </w:t>
      </w:r>
      <w:r w:rsidR="00D17BC9">
        <w:t>different</w:t>
      </w:r>
      <w:r w:rsidR="00506115">
        <w:t xml:space="preserve"> types of </w:t>
      </w:r>
      <w:r w:rsidR="00147BB0">
        <w:t>social/network assets identified by</w:t>
      </w:r>
      <w:r w:rsidR="00D17BC9">
        <w:t xml:space="preserve"> </w:t>
      </w:r>
      <w:proofErr w:type="spellStart"/>
      <w:r w:rsidR="00147BB0">
        <w:t>Svendsen</w:t>
      </w:r>
      <w:proofErr w:type="spellEnd"/>
      <w:r w:rsidR="00147BB0">
        <w:t xml:space="preserve"> </w:t>
      </w:r>
      <w:r w:rsidR="000D5C91">
        <w:t>(2013, p. 67)</w:t>
      </w:r>
      <w:r w:rsidR="00AC7E0B">
        <w:t>.</w:t>
      </w:r>
      <w:r w:rsidR="00D17BC9">
        <w:t xml:space="preserve"> </w:t>
      </w:r>
    </w:p>
    <w:p w14:paraId="0051740C" w14:textId="6D112DF2" w:rsidR="002F41EA" w:rsidRDefault="002F41EA" w:rsidP="005F43FD">
      <w:r>
        <w:t xml:space="preserve">Town and </w:t>
      </w:r>
      <w:proofErr w:type="spellStart"/>
      <w:r>
        <w:t>Kyrllidou</w:t>
      </w:r>
      <w:proofErr w:type="spellEnd"/>
      <w:r>
        <w:t xml:space="preserve"> (2013, pp. 12-14) suggest several novel </w:t>
      </w:r>
      <w:r w:rsidR="005A12E9">
        <w:t xml:space="preserve">intangible </w:t>
      </w:r>
      <w:r>
        <w:t>elements</w:t>
      </w:r>
      <w:r w:rsidR="005A12E9">
        <w:t>,</w:t>
      </w:r>
      <w:r>
        <w:t xml:space="preserve"> to be used alongside the standard balanced scorecard: </w:t>
      </w:r>
      <w:r w:rsidR="00246B15">
        <w:t xml:space="preserve">they subdivide </w:t>
      </w:r>
      <w:r>
        <w:t xml:space="preserve">Relational capital into Relational and </w:t>
      </w:r>
      <w:r w:rsidRPr="004E173A">
        <w:rPr>
          <w:i/>
        </w:rPr>
        <w:t>Competitive Position</w:t>
      </w:r>
      <w:r>
        <w:t xml:space="preserve"> capital (reputation); </w:t>
      </w:r>
      <w:r w:rsidR="00A308E2">
        <w:t>add</w:t>
      </w:r>
      <w:r w:rsidR="00246B15">
        <w:t xml:space="preserve"> </w:t>
      </w:r>
      <w:r>
        <w:t xml:space="preserve">a </w:t>
      </w:r>
      <w:r w:rsidRPr="00196F8B">
        <w:rPr>
          <w:i/>
        </w:rPr>
        <w:t>Meta-Assets</w:t>
      </w:r>
      <w:r w:rsidRPr="00F60FD5">
        <w:t xml:space="preserve"> e</w:t>
      </w:r>
      <w:r>
        <w:t xml:space="preserve">lement to define </w:t>
      </w:r>
      <w:r w:rsidRPr="005A6650">
        <w:rPr>
          <w:i/>
        </w:rPr>
        <w:t>intangible</w:t>
      </w:r>
      <w:r>
        <w:t xml:space="preserve"> value added to </w:t>
      </w:r>
      <w:r w:rsidRPr="005A6650">
        <w:rPr>
          <w:i/>
        </w:rPr>
        <w:t xml:space="preserve">tangible </w:t>
      </w:r>
      <w:r>
        <w:t>assets; a</w:t>
      </w:r>
      <w:r w:rsidR="00A308E2">
        <w:t>nd introduce a</w:t>
      </w:r>
      <w:r>
        <w:t xml:space="preserve"> </w:t>
      </w:r>
      <w:r w:rsidRPr="005A6650">
        <w:rPr>
          <w:i/>
        </w:rPr>
        <w:t>social</w:t>
      </w:r>
      <w:r>
        <w:t xml:space="preserve"> capital component </w:t>
      </w:r>
      <w:r w:rsidR="00A308E2">
        <w:t>with their</w:t>
      </w:r>
      <w:r w:rsidR="00455668">
        <w:t xml:space="preserve"> Library Virtue dimension (</w:t>
      </w:r>
      <w:r>
        <w:t>in which “proofs of li</w:t>
      </w:r>
      <w:r w:rsidR="00BA2CC7">
        <w:t>brary impact wil</w:t>
      </w:r>
      <w:r w:rsidR="00B65828">
        <w:t>l be delivered”</w:t>
      </w:r>
      <w:r w:rsidR="00455668">
        <w:t>)</w:t>
      </w:r>
      <w:r w:rsidR="00B65828">
        <w:t xml:space="preserve"> and</w:t>
      </w:r>
      <w:r w:rsidR="005B76AB">
        <w:t xml:space="preserve"> a Library Momentum dimension, to track the</w:t>
      </w:r>
      <w:r>
        <w:t xml:space="preserve"> </w:t>
      </w:r>
      <w:r w:rsidRPr="00A16E16">
        <w:rPr>
          <w:i/>
        </w:rPr>
        <w:t xml:space="preserve">pace </w:t>
      </w:r>
      <w:r w:rsidRPr="005B76AB">
        <w:t>of innovation</w:t>
      </w:r>
      <w:r w:rsidR="00455668">
        <w:t xml:space="preserve">, </w:t>
      </w:r>
      <w:r>
        <w:t>as</w:t>
      </w:r>
      <w:r w:rsidR="00455668">
        <w:t xml:space="preserve"> a</w:t>
      </w:r>
      <w:r>
        <w:t xml:space="preserve"> final “critical organizational asset”. Their framework is not yet a working tool, but is an interesting attempt to broaden and elevate the scope of library assessment to measure “the full value of academic research libraries” (Town &amp; </w:t>
      </w:r>
      <w:proofErr w:type="spellStart"/>
      <w:r>
        <w:t>Kyrillidou</w:t>
      </w:r>
      <w:proofErr w:type="spellEnd"/>
      <w:r>
        <w:t>, 2013, p. 7).</w:t>
      </w:r>
    </w:p>
    <w:p w14:paraId="4E9A80D6" w14:textId="77777777" w:rsidR="00D54138" w:rsidRDefault="00D54138" w:rsidP="000B56DE">
      <w:pPr>
        <w:spacing w:before="40" w:after="0"/>
      </w:pPr>
    </w:p>
    <w:p w14:paraId="7311F863" w14:textId="77777777" w:rsidR="00AC7E0B" w:rsidRDefault="00AC7E0B" w:rsidP="00D54138">
      <w:pPr>
        <w:ind w:firstLine="0"/>
        <w:jc w:val="center"/>
      </w:pPr>
      <w:r>
        <w:rPr>
          <w:noProof/>
        </w:rPr>
        <w:drawing>
          <wp:inline distT="0" distB="0" distL="0" distR="0" wp14:anchorId="1372F464" wp14:editId="3C164EB6">
            <wp:extent cx="2895600" cy="284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l="13501" r="9702"/>
                    <a:stretch>
                      <a:fillRect/>
                    </a:stretch>
                  </pic:blipFill>
                  <pic:spPr bwMode="auto">
                    <a:xfrm>
                      <a:off x="0" y="0"/>
                      <a:ext cx="2895600" cy="2844800"/>
                    </a:xfrm>
                    <a:prstGeom prst="rect">
                      <a:avLst/>
                    </a:prstGeom>
                    <a:noFill/>
                    <a:ln>
                      <a:noFill/>
                    </a:ln>
                  </pic:spPr>
                </pic:pic>
              </a:graphicData>
            </a:graphic>
          </wp:inline>
        </w:drawing>
      </w:r>
    </w:p>
    <w:p w14:paraId="6F04C971" w14:textId="533F43AA" w:rsidR="00AC7E0B" w:rsidRDefault="0082315C" w:rsidP="0082315C">
      <w:pPr>
        <w:spacing w:before="120" w:after="0"/>
        <w:ind w:firstLine="0"/>
        <w:jc w:val="center"/>
      </w:pPr>
      <w:r>
        <w:t>Figure 2</w:t>
      </w:r>
      <w:r w:rsidR="00AC7E0B">
        <w:t>. Intangible assets for rural public libraries</w:t>
      </w:r>
    </w:p>
    <w:p w14:paraId="19A94D51" w14:textId="7EBB1E96" w:rsidR="001B2D62" w:rsidRDefault="00AC7E0B" w:rsidP="00731AC2">
      <w:pPr>
        <w:spacing w:after="120"/>
        <w:ind w:firstLine="0"/>
        <w:jc w:val="center"/>
      </w:pPr>
      <w:r>
        <w:t>(</w:t>
      </w:r>
      <w:proofErr w:type="spellStart"/>
      <w:r>
        <w:t>Svendsen</w:t>
      </w:r>
      <w:proofErr w:type="spellEnd"/>
      <w:r>
        <w:t>, 2013)</w:t>
      </w:r>
    </w:p>
    <w:p w14:paraId="34CB6361" w14:textId="0476DFE5" w:rsidR="00B14704" w:rsidRDefault="00E95B26" w:rsidP="001B2D62">
      <w:pPr>
        <w:spacing w:after="0"/>
      </w:pPr>
      <w:r w:rsidRPr="00E95B26">
        <w:t xml:space="preserve">Research in academic libraries in Thailand produced a taxonomy of IAs that </w:t>
      </w:r>
      <w:r w:rsidR="00866D3E">
        <w:t>proposes</w:t>
      </w:r>
      <w:r w:rsidRPr="00E95B26">
        <w:t xml:space="preserve"> a library-specific fourth category of </w:t>
      </w:r>
      <w:r w:rsidR="0017491F">
        <w:rPr>
          <w:i/>
        </w:rPr>
        <w:t>Collection and Service</w:t>
      </w:r>
      <w:r w:rsidR="0017491F" w:rsidRPr="00C33AB3">
        <w:rPr>
          <w:i/>
        </w:rPr>
        <w:t xml:space="preserve"> a</w:t>
      </w:r>
      <w:r w:rsidRPr="00C33AB3">
        <w:rPr>
          <w:i/>
        </w:rPr>
        <w:t>ssets</w:t>
      </w:r>
      <w:r w:rsidR="0017491F" w:rsidRPr="00C33AB3">
        <w:rPr>
          <w:i/>
        </w:rPr>
        <w:t xml:space="preserve">, </w:t>
      </w:r>
      <w:r w:rsidR="001A03A3">
        <w:t>as “the end-products of core knowledge-based processes</w:t>
      </w:r>
      <w:r w:rsidR="008F3991">
        <w:t xml:space="preserve"> in libraries”</w:t>
      </w:r>
      <w:r w:rsidR="00196F8B">
        <w:t xml:space="preserve">, which are </w:t>
      </w:r>
      <w:r w:rsidR="00545992">
        <w:t>“</w:t>
      </w:r>
      <w:r w:rsidR="00196F8B">
        <w:t>deri</w:t>
      </w:r>
      <w:r w:rsidR="00545992">
        <w:t>ved from a combination of human, structural and relationship assets”</w:t>
      </w:r>
      <w:r w:rsidR="008F3991">
        <w:t xml:space="preserve"> (Corrall &amp;</w:t>
      </w:r>
      <w:r w:rsidR="00196F8B">
        <w:t xml:space="preserve"> </w:t>
      </w:r>
      <w:proofErr w:type="spellStart"/>
      <w:r w:rsidR="00196F8B">
        <w:t>Sriborisutsakul</w:t>
      </w:r>
      <w:proofErr w:type="spellEnd"/>
      <w:r w:rsidR="00196F8B">
        <w:t>, 2010, p. 283)</w:t>
      </w:r>
      <w:r w:rsidR="00E837C3">
        <w:t xml:space="preserve">. </w:t>
      </w:r>
      <w:r w:rsidR="00FE3CF2">
        <w:t xml:space="preserve">Figure </w:t>
      </w:r>
      <w:r w:rsidR="00C34DA3">
        <w:t>3</w:t>
      </w:r>
      <w:r w:rsidR="00FE3CF2">
        <w:t xml:space="preserve"> </w:t>
      </w:r>
      <w:r w:rsidR="00816D85">
        <w:t>shows</w:t>
      </w:r>
      <w:r w:rsidR="00FE3CF2">
        <w:t xml:space="preserve"> </w:t>
      </w:r>
      <w:proofErr w:type="spellStart"/>
      <w:r w:rsidR="00FE3CF2">
        <w:t>Sriborisutsakul’s</w:t>
      </w:r>
      <w:proofErr w:type="spellEnd"/>
      <w:r w:rsidR="00FE3CF2">
        <w:t xml:space="preserve"> (2010, p. 213) categorization of library IAs</w:t>
      </w:r>
      <w:r w:rsidR="00617962">
        <w:t xml:space="preserve"> (</w:t>
      </w:r>
      <w:r w:rsidR="00816D85">
        <w:t>with</w:t>
      </w:r>
      <w:r w:rsidR="00617962">
        <w:t xml:space="preserve"> examples </w:t>
      </w:r>
      <w:r w:rsidR="00C33AB3">
        <w:t>found</w:t>
      </w:r>
      <w:r w:rsidR="00617962">
        <w:t xml:space="preserve"> in Thai university libraries).</w:t>
      </w:r>
    </w:p>
    <w:p w14:paraId="1B1F4F6A" w14:textId="0B45BC6F" w:rsidR="0093146A" w:rsidRDefault="0093146A" w:rsidP="00D376CD">
      <w:pPr>
        <w:ind w:firstLine="0"/>
      </w:pPr>
      <w:r>
        <w:rPr>
          <w:noProof/>
        </w:rPr>
        <w:drawing>
          <wp:inline distT="0" distB="0" distL="0" distR="0" wp14:anchorId="0F7A9C1D" wp14:editId="6DC3CABE">
            <wp:extent cx="2933700" cy="2159000"/>
            <wp:effectExtent l="0" t="0" r="1270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l="3801" t="4001" r="3000" b="4001"/>
                    <a:stretch>
                      <a:fillRect/>
                    </a:stretch>
                  </pic:blipFill>
                  <pic:spPr bwMode="auto">
                    <a:xfrm>
                      <a:off x="0" y="0"/>
                      <a:ext cx="2933700" cy="2159000"/>
                    </a:xfrm>
                    <a:prstGeom prst="rect">
                      <a:avLst/>
                    </a:prstGeom>
                    <a:noFill/>
                    <a:ln>
                      <a:noFill/>
                    </a:ln>
                  </pic:spPr>
                </pic:pic>
              </a:graphicData>
            </a:graphic>
          </wp:inline>
        </w:drawing>
      </w:r>
    </w:p>
    <w:p w14:paraId="7A6EA61C" w14:textId="367BE1A5" w:rsidR="00B14704" w:rsidRDefault="00B14704" w:rsidP="00B14704">
      <w:pPr>
        <w:spacing w:after="0"/>
        <w:ind w:firstLine="0"/>
        <w:jc w:val="center"/>
      </w:pPr>
      <w:r>
        <w:t xml:space="preserve">Figure </w:t>
      </w:r>
      <w:r w:rsidR="0082315C">
        <w:t>3</w:t>
      </w:r>
      <w:r>
        <w:t>. Classification of library intellectual assets</w:t>
      </w:r>
    </w:p>
    <w:p w14:paraId="79B045B2" w14:textId="3922216F" w:rsidR="00B14704" w:rsidRDefault="00B14704" w:rsidP="00731AC2">
      <w:pPr>
        <w:spacing w:after="120"/>
        <w:ind w:firstLine="0"/>
        <w:jc w:val="center"/>
      </w:pPr>
      <w:r>
        <w:t>(</w:t>
      </w:r>
      <w:proofErr w:type="spellStart"/>
      <w:r>
        <w:t>Sborisutsakul</w:t>
      </w:r>
      <w:proofErr w:type="spellEnd"/>
      <w:r>
        <w:t>, 2010)</w:t>
      </w:r>
    </w:p>
    <w:p w14:paraId="5150E01D" w14:textId="1776AAE9" w:rsidR="00BE0105" w:rsidRDefault="005635AB" w:rsidP="00771BA5">
      <w:pPr>
        <w:spacing w:before="40"/>
      </w:pPr>
      <w:r>
        <w:t>Resource-based</w:t>
      </w:r>
      <w:r w:rsidR="00F3773D">
        <w:t xml:space="preserve"> theories</w:t>
      </w:r>
      <w:r w:rsidR="00153638">
        <w:t xml:space="preserve"> of the firm</w:t>
      </w:r>
      <w:r w:rsidR="00D54138">
        <w:t xml:space="preserve"> emphasize that organizations gain advantage from distinctive complex </w:t>
      </w:r>
      <w:r w:rsidR="00D54138" w:rsidRPr="00DC2EEC">
        <w:rPr>
          <w:i/>
        </w:rPr>
        <w:t>bundles</w:t>
      </w:r>
      <w:r w:rsidR="00D54138">
        <w:t xml:space="preserve"> of resources, whose use in combination is hard to imitate and replace. The value of such “super-assets” is thus more than the sum of their components, and therefore worth assessing and reporting. </w:t>
      </w:r>
      <w:r w:rsidR="00814322">
        <w:t>T</w:t>
      </w:r>
      <w:r w:rsidR="00D54138">
        <w:t xml:space="preserve">hese </w:t>
      </w:r>
      <w:r w:rsidR="00EF25FC">
        <w:t>combinations of assets in use</w:t>
      </w:r>
      <w:r w:rsidR="00D54138">
        <w:t xml:space="preserve"> are </w:t>
      </w:r>
      <w:r w:rsidR="00814322">
        <w:t xml:space="preserve">also </w:t>
      </w:r>
      <w:r w:rsidR="00D54138">
        <w:t>more visible and more meaningf</w:t>
      </w:r>
      <w:r w:rsidR="00814322">
        <w:t>ul to library stakeholders than</w:t>
      </w:r>
      <w:r w:rsidR="00044E43">
        <w:t xml:space="preserve"> </w:t>
      </w:r>
      <w:r w:rsidR="00F3773D">
        <w:t xml:space="preserve">individual </w:t>
      </w:r>
      <w:r w:rsidR="00D54138">
        <w:t xml:space="preserve">assets </w:t>
      </w:r>
      <w:r w:rsidR="009B0C04">
        <w:t>used to create them.</w:t>
      </w:r>
      <w:r w:rsidR="00153638">
        <w:t xml:space="preserve"> L</w:t>
      </w:r>
      <w:r w:rsidR="00D54138">
        <w:t xml:space="preserve">ibraries consequently need to define their distinctive collection and service assets, and </w:t>
      </w:r>
      <w:r w:rsidR="00153638">
        <w:t xml:space="preserve">then </w:t>
      </w:r>
      <w:r w:rsidR="00D54138">
        <w:t>expose and explain the hidden assets on which they depend to their stakeholders</w:t>
      </w:r>
      <w:r w:rsidR="00BE0105">
        <w:t>.</w:t>
      </w:r>
    </w:p>
    <w:p w14:paraId="333D6267" w14:textId="3C98142E" w:rsidR="00F02413" w:rsidRPr="00AC09EF" w:rsidRDefault="00771BA5" w:rsidP="00B11041">
      <w:pPr>
        <w:spacing w:before="40" w:after="0"/>
        <w:ind w:firstLine="0"/>
      </w:pPr>
      <w:r>
        <w:rPr>
          <w:i/>
        </w:rPr>
        <w:t>Library Examples of Intangible A</w:t>
      </w:r>
      <w:r w:rsidR="00F02413">
        <w:rPr>
          <w:i/>
        </w:rPr>
        <w:t>ssets</w:t>
      </w:r>
    </w:p>
    <w:p w14:paraId="711034A8" w14:textId="735E7051" w:rsidR="00D626EC" w:rsidRDefault="00D626EC" w:rsidP="00323852">
      <w:pPr>
        <w:widowControl w:val="0"/>
        <w:autoSpaceDE w:val="0"/>
        <w:autoSpaceDN w:val="0"/>
        <w:adjustRightInd w:val="0"/>
      </w:pPr>
      <w:r>
        <w:t xml:space="preserve">Library competence to manage research data has </w:t>
      </w:r>
      <w:r w:rsidR="00990BDC">
        <w:t xml:space="preserve">been </w:t>
      </w:r>
      <w:r w:rsidR="00986A6A">
        <w:t>questioned</w:t>
      </w:r>
      <w:r w:rsidR="00ED5AE8">
        <w:t xml:space="preserve"> in the literature and studies have identified skills gaps and shortages</w:t>
      </w:r>
      <w:r w:rsidR="00E86B81">
        <w:t>,</w:t>
      </w:r>
      <w:r w:rsidR="00ED5AE8">
        <w:t xml:space="preserve"> </w:t>
      </w:r>
      <w:r w:rsidR="00195C40">
        <w:t>notably</w:t>
      </w:r>
      <w:r w:rsidR="001558D9">
        <w:t xml:space="preserve"> technical knowle</w:t>
      </w:r>
      <w:r w:rsidR="00F61D6F">
        <w:t xml:space="preserve">dge </w:t>
      </w:r>
      <w:r w:rsidR="00E86B81">
        <w:t>for</w:t>
      </w:r>
      <w:r w:rsidR="00F61D6F">
        <w:t xml:space="preserve"> data curation, advanced information technology </w:t>
      </w:r>
      <w:r w:rsidR="001558D9">
        <w:t xml:space="preserve">skills, </w:t>
      </w:r>
      <w:r w:rsidR="006A472E">
        <w:t>subject</w:t>
      </w:r>
      <w:r w:rsidR="001F1D08">
        <w:t xml:space="preserve"> domain knowledge, </w:t>
      </w:r>
      <w:r w:rsidR="001558D9">
        <w:t>research processes</w:t>
      </w:r>
      <w:r w:rsidR="00D606C5">
        <w:t xml:space="preserve"> and methods, </w:t>
      </w:r>
      <w:r w:rsidR="00626346">
        <w:t xml:space="preserve">and metadata schemas for </w:t>
      </w:r>
      <w:r w:rsidR="001F1D08">
        <w:t xml:space="preserve">specific </w:t>
      </w:r>
      <w:r w:rsidR="00626346">
        <w:t>disci</w:t>
      </w:r>
      <w:r w:rsidR="00F61D6F">
        <w:t>plines</w:t>
      </w:r>
      <w:r w:rsidR="00626346">
        <w:t xml:space="preserve"> (Corrall et al., 2013</w:t>
      </w:r>
      <w:r w:rsidR="00D33042">
        <w:t>; Cox &amp; Corrall, 2013)</w:t>
      </w:r>
      <w:r w:rsidR="00626346">
        <w:t>.</w:t>
      </w:r>
      <w:r w:rsidR="00195C40">
        <w:t xml:space="preserve"> </w:t>
      </w:r>
      <w:r w:rsidR="00351DFE">
        <w:t xml:space="preserve">However, </w:t>
      </w:r>
      <w:r w:rsidR="001A685A">
        <w:t xml:space="preserve">the literature also highlights </w:t>
      </w:r>
      <w:r w:rsidR="005345EB">
        <w:t>previous</w:t>
      </w:r>
      <w:r w:rsidR="00C95407">
        <w:t xml:space="preserve"> library </w:t>
      </w:r>
      <w:r w:rsidR="005345EB">
        <w:t xml:space="preserve">experience and </w:t>
      </w:r>
      <w:r w:rsidR="00C95407">
        <w:t>know-how</w:t>
      </w:r>
      <w:r w:rsidR="006267A9">
        <w:t>;</w:t>
      </w:r>
      <w:r w:rsidR="005345EB">
        <w:t xml:space="preserve"> </w:t>
      </w:r>
      <w:r w:rsidR="000F6A5E">
        <w:t xml:space="preserve">existing </w:t>
      </w:r>
      <w:r w:rsidR="006267A9">
        <w:t>collaborations and partnerships;</w:t>
      </w:r>
      <w:r w:rsidR="00AD5764">
        <w:t xml:space="preserve"> and </w:t>
      </w:r>
      <w:r w:rsidR="006267A9">
        <w:t>organizational structures, systems and procedures</w:t>
      </w:r>
      <w:r w:rsidR="00DB3AD9">
        <w:t xml:space="preserve">, which </w:t>
      </w:r>
      <w:r w:rsidR="004531E9">
        <w:t xml:space="preserve">constitute intangible assets that </w:t>
      </w:r>
      <w:r w:rsidR="00DB3AD9">
        <w:t xml:space="preserve">are enabling </w:t>
      </w:r>
      <w:r w:rsidR="004531E9">
        <w:t>academic libraries to</w:t>
      </w:r>
      <w:r w:rsidR="00A82954">
        <w:t xml:space="preserve"> initiate research data services</w:t>
      </w:r>
      <w:r w:rsidR="002E54E2">
        <w:t xml:space="preserve"> (Corrall, 2012).</w:t>
      </w:r>
      <w:r w:rsidR="00944800">
        <w:t xml:space="preserve"> </w:t>
      </w:r>
    </w:p>
    <w:p w14:paraId="184E8D23" w14:textId="0F46BB40" w:rsidR="000A2783" w:rsidRDefault="00944800" w:rsidP="00944800">
      <w:pPr>
        <w:widowControl w:val="0"/>
        <w:autoSpaceDE w:val="0"/>
        <w:autoSpaceDN w:val="0"/>
        <w:adjustRightInd w:val="0"/>
        <w:spacing w:after="0"/>
      </w:pPr>
      <w:r w:rsidRPr="000F6A5E">
        <w:rPr>
          <w:i/>
        </w:rPr>
        <w:t>Human assets</w:t>
      </w:r>
      <w:r>
        <w:t xml:space="preserve"> include</w:t>
      </w:r>
      <w:r w:rsidR="000F6A5E">
        <w:t xml:space="preserve">: </w:t>
      </w:r>
    </w:p>
    <w:p w14:paraId="62F15576" w14:textId="71DCCCC0" w:rsidR="000A2783" w:rsidRPr="000A2783" w:rsidRDefault="000F6A5E" w:rsidP="007D4815">
      <w:pPr>
        <w:pStyle w:val="ListParagraph"/>
        <w:widowControl w:val="0"/>
        <w:numPr>
          <w:ilvl w:val="0"/>
          <w:numId w:val="9"/>
        </w:numPr>
        <w:autoSpaceDE w:val="0"/>
        <w:autoSpaceDN w:val="0"/>
        <w:adjustRightInd w:val="0"/>
        <w:ind w:left="144" w:hanging="144"/>
        <w:jc w:val="both"/>
        <w:rPr>
          <w:rFonts w:ascii="Times New Roman" w:hAnsi="Times New Roman"/>
          <w:sz w:val="20"/>
          <w:szCs w:val="20"/>
        </w:rPr>
      </w:pPr>
      <w:r w:rsidRPr="000A2783">
        <w:rPr>
          <w:rFonts w:ascii="Times New Roman" w:hAnsi="Times New Roman"/>
          <w:sz w:val="20"/>
          <w:szCs w:val="20"/>
        </w:rPr>
        <w:t>expe</w:t>
      </w:r>
      <w:r w:rsidR="00CC7096" w:rsidRPr="000A2783">
        <w:rPr>
          <w:rFonts w:ascii="Times New Roman" w:hAnsi="Times New Roman"/>
          <w:sz w:val="20"/>
          <w:szCs w:val="20"/>
        </w:rPr>
        <w:t>rtise</w:t>
      </w:r>
      <w:r w:rsidRPr="000A2783">
        <w:rPr>
          <w:rFonts w:ascii="Times New Roman" w:hAnsi="Times New Roman"/>
          <w:sz w:val="20"/>
          <w:szCs w:val="20"/>
        </w:rPr>
        <w:t xml:space="preserve"> in </w:t>
      </w:r>
      <w:r w:rsidR="00F04C04" w:rsidRPr="000A2783">
        <w:rPr>
          <w:rFonts w:ascii="Times New Roman" w:hAnsi="Times New Roman"/>
          <w:sz w:val="20"/>
          <w:szCs w:val="20"/>
        </w:rPr>
        <w:t xml:space="preserve">collection </w:t>
      </w:r>
      <w:r w:rsidR="000A2783">
        <w:rPr>
          <w:rFonts w:ascii="Times New Roman" w:hAnsi="Times New Roman"/>
          <w:sz w:val="20"/>
          <w:szCs w:val="20"/>
        </w:rPr>
        <w:t>development</w:t>
      </w:r>
      <w:r w:rsidR="00F04C04" w:rsidRPr="000A2783">
        <w:rPr>
          <w:rFonts w:ascii="Times New Roman" w:hAnsi="Times New Roman"/>
          <w:sz w:val="20"/>
          <w:szCs w:val="20"/>
        </w:rPr>
        <w:t xml:space="preserve"> </w:t>
      </w:r>
      <w:r w:rsidR="0074696D">
        <w:rPr>
          <w:rFonts w:ascii="Times New Roman" w:hAnsi="Times New Roman"/>
          <w:sz w:val="20"/>
          <w:szCs w:val="20"/>
        </w:rPr>
        <w:t xml:space="preserve">and </w:t>
      </w:r>
      <w:r w:rsidR="006B0C07">
        <w:rPr>
          <w:rFonts w:ascii="Times New Roman" w:hAnsi="Times New Roman"/>
          <w:sz w:val="20"/>
          <w:szCs w:val="20"/>
        </w:rPr>
        <w:t xml:space="preserve">external </w:t>
      </w:r>
      <w:r w:rsidR="0074696D">
        <w:rPr>
          <w:rFonts w:ascii="Times New Roman" w:hAnsi="Times New Roman"/>
          <w:sz w:val="20"/>
          <w:szCs w:val="20"/>
        </w:rPr>
        <w:t>dataset</w:t>
      </w:r>
      <w:r w:rsidR="006B0C07">
        <w:rPr>
          <w:rFonts w:ascii="Times New Roman" w:hAnsi="Times New Roman"/>
          <w:sz w:val="20"/>
          <w:szCs w:val="20"/>
        </w:rPr>
        <w:t>s</w:t>
      </w:r>
      <w:r w:rsidR="0074696D">
        <w:rPr>
          <w:rFonts w:ascii="Times New Roman" w:hAnsi="Times New Roman"/>
          <w:sz w:val="20"/>
          <w:szCs w:val="20"/>
        </w:rPr>
        <w:t xml:space="preserve"> </w:t>
      </w:r>
      <w:r w:rsidR="00D96C25" w:rsidRPr="000A2783">
        <w:rPr>
          <w:rFonts w:ascii="Times New Roman" w:hAnsi="Times New Roman"/>
          <w:sz w:val="20"/>
          <w:szCs w:val="20"/>
        </w:rPr>
        <w:t>that can be transferred</w:t>
      </w:r>
      <w:r w:rsidR="00F04C04" w:rsidRPr="000A2783">
        <w:rPr>
          <w:rFonts w:ascii="Times New Roman" w:hAnsi="Times New Roman"/>
          <w:sz w:val="20"/>
          <w:szCs w:val="20"/>
        </w:rPr>
        <w:t xml:space="preserve"> to data collections</w:t>
      </w:r>
      <w:r w:rsidR="00CC7096" w:rsidRPr="000A2783">
        <w:rPr>
          <w:rFonts w:ascii="Times New Roman" w:hAnsi="Times New Roman"/>
          <w:sz w:val="20"/>
          <w:szCs w:val="20"/>
        </w:rPr>
        <w:t xml:space="preserve"> </w:t>
      </w:r>
    </w:p>
    <w:p w14:paraId="44CE695D" w14:textId="3EA7C4E1" w:rsidR="000A2783" w:rsidRPr="000A2783" w:rsidRDefault="00CC7096" w:rsidP="007D4815">
      <w:pPr>
        <w:pStyle w:val="ListParagraph"/>
        <w:widowControl w:val="0"/>
        <w:numPr>
          <w:ilvl w:val="0"/>
          <w:numId w:val="9"/>
        </w:numPr>
        <w:autoSpaceDE w:val="0"/>
        <w:autoSpaceDN w:val="0"/>
        <w:adjustRightInd w:val="0"/>
        <w:ind w:left="144" w:hanging="144"/>
        <w:jc w:val="both"/>
        <w:rPr>
          <w:rFonts w:ascii="Times New Roman" w:hAnsi="Times New Roman"/>
          <w:sz w:val="20"/>
          <w:szCs w:val="20"/>
        </w:rPr>
      </w:pPr>
      <w:r w:rsidRPr="000A2783">
        <w:rPr>
          <w:rFonts w:ascii="Times New Roman" w:hAnsi="Times New Roman"/>
          <w:sz w:val="20"/>
          <w:szCs w:val="20"/>
        </w:rPr>
        <w:t xml:space="preserve">experience in repository </w:t>
      </w:r>
      <w:r w:rsidR="006B0C07">
        <w:rPr>
          <w:rFonts w:ascii="Times New Roman" w:hAnsi="Times New Roman"/>
          <w:sz w:val="20"/>
          <w:szCs w:val="20"/>
        </w:rPr>
        <w:t xml:space="preserve">development and </w:t>
      </w:r>
      <w:r w:rsidRPr="000A2783">
        <w:rPr>
          <w:rFonts w:ascii="Times New Roman" w:hAnsi="Times New Roman"/>
          <w:sz w:val="20"/>
          <w:szCs w:val="20"/>
        </w:rPr>
        <w:t>management that can be extended to data repositories</w:t>
      </w:r>
      <w:r w:rsidR="00A17D34" w:rsidRPr="000A2783">
        <w:rPr>
          <w:rFonts w:ascii="Times New Roman" w:hAnsi="Times New Roman"/>
          <w:sz w:val="20"/>
          <w:szCs w:val="20"/>
        </w:rPr>
        <w:t xml:space="preserve"> </w:t>
      </w:r>
    </w:p>
    <w:p w14:paraId="6ADF4909" w14:textId="20B2E68E" w:rsidR="00944800" w:rsidRDefault="00D96C25" w:rsidP="00323852">
      <w:pPr>
        <w:pStyle w:val="ListParagraph"/>
        <w:widowControl w:val="0"/>
        <w:numPr>
          <w:ilvl w:val="0"/>
          <w:numId w:val="9"/>
        </w:numPr>
        <w:autoSpaceDE w:val="0"/>
        <w:autoSpaceDN w:val="0"/>
        <w:adjustRightInd w:val="0"/>
        <w:spacing w:after="80"/>
        <w:ind w:left="144" w:hanging="144"/>
        <w:jc w:val="both"/>
        <w:rPr>
          <w:rFonts w:ascii="Times New Roman" w:hAnsi="Times New Roman"/>
          <w:sz w:val="20"/>
          <w:szCs w:val="20"/>
        </w:rPr>
      </w:pPr>
      <w:r w:rsidRPr="000A2783">
        <w:rPr>
          <w:rFonts w:ascii="Times New Roman" w:hAnsi="Times New Roman"/>
          <w:sz w:val="20"/>
          <w:szCs w:val="20"/>
        </w:rPr>
        <w:t xml:space="preserve">skills in </w:t>
      </w:r>
      <w:r w:rsidR="009C4450">
        <w:rPr>
          <w:rFonts w:ascii="Times New Roman" w:hAnsi="Times New Roman"/>
          <w:sz w:val="20"/>
          <w:szCs w:val="20"/>
        </w:rPr>
        <w:t>conducting reference interviews</w:t>
      </w:r>
      <w:r w:rsidRPr="000A2783">
        <w:rPr>
          <w:rFonts w:ascii="Times New Roman" w:hAnsi="Times New Roman"/>
          <w:sz w:val="20"/>
          <w:szCs w:val="20"/>
        </w:rPr>
        <w:t xml:space="preserve"> that can </w:t>
      </w:r>
      <w:r w:rsidR="00A17D34" w:rsidRPr="000A2783">
        <w:rPr>
          <w:rFonts w:ascii="Times New Roman" w:hAnsi="Times New Roman"/>
          <w:sz w:val="20"/>
          <w:szCs w:val="20"/>
        </w:rPr>
        <w:t>be applied to data interviews.</w:t>
      </w:r>
      <w:r w:rsidR="0091059C" w:rsidRPr="000A2783">
        <w:rPr>
          <w:rFonts w:ascii="Times New Roman" w:hAnsi="Times New Roman"/>
          <w:sz w:val="20"/>
          <w:szCs w:val="20"/>
        </w:rPr>
        <w:t xml:space="preserve"> </w:t>
      </w:r>
    </w:p>
    <w:p w14:paraId="0BC72538" w14:textId="77777777" w:rsidR="001437CF" w:rsidRDefault="00F02DAA" w:rsidP="00323852">
      <w:pPr>
        <w:widowControl w:val="0"/>
        <w:autoSpaceDE w:val="0"/>
        <w:autoSpaceDN w:val="0"/>
        <w:adjustRightInd w:val="0"/>
      </w:pPr>
      <w:r>
        <w:t>Practitioner</w:t>
      </w:r>
      <w:r w:rsidR="00B63C53">
        <w:t xml:space="preserve"> case studies also </w:t>
      </w:r>
      <w:r>
        <w:t xml:space="preserve">report creative use of </w:t>
      </w:r>
      <w:r w:rsidR="007E3CF4">
        <w:t xml:space="preserve">their </w:t>
      </w:r>
      <w:r w:rsidR="00784E60">
        <w:t>literature search</w:t>
      </w:r>
      <w:r w:rsidR="00F23C31">
        <w:t xml:space="preserve"> </w:t>
      </w:r>
      <w:r w:rsidR="007E3CF4">
        <w:t>know-how</w:t>
      </w:r>
      <w:r w:rsidR="00EC5645">
        <w:t xml:space="preserve"> by</w:t>
      </w:r>
      <w:r w:rsidR="009514C3">
        <w:t xml:space="preserve"> library professionals</w:t>
      </w:r>
      <w:r w:rsidR="00F23C31">
        <w:t xml:space="preserve"> to select </w:t>
      </w:r>
      <w:r w:rsidR="00EC5645">
        <w:t xml:space="preserve">the </w:t>
      </w:r>
      <w:r w:rsidR="007E3CF4">
        <w:t xml:space="preserve">most </w:t>
      </w:r>
      <w:r w:rsidR="00EC5645">
        <w:t xml:space="preserve">appropriate </w:t>
      </w:r>
      <w:r w:rsidR="00F23C31">
        <w:t>metadata schem</w:t>
      </w:r>
      <w:r w:rsidR="00EC5645">
        <w:t>a</w:t>
      </w:r>
      <w:r w:rsidR="007E3CF4">
        <w:t xml:space="preserve"> for </w:t>
      </w:r>
      <w:r w:rsidR="002F2CD9">
        <w:t>projects (</w:t>
      </w:r>
      <w:proofErr w:type="spellStart"/>
      <w:r w:rsidR="002F2CD9">
        <w:t>Bracke</w:t>
      </w:r>
      <w:proofErr w:type="spellEnd"/>
      <w:r w:rsidR="002F2CD9">
        <w:t xml:space="preserve">, 2011; </w:t>
      </w:r>
      <w:proofErr w:type="spellStart"/>
      <w:r w:rsidR="002F2CD9">
        <w:t>Hasman</w:t>
      </w:r>
      <w:proofErr w:type="spellEnd"/>
      <w:r w:rsidR="002F2CD9">
        <w:t xml:space="preserve">, </w:t>
      </w:r>
      <w:r w:rsidR="00745EEC">
        <w:t>Berryman &amp; McIntosh, 2013).</w:t>
      </w:r>
      <w:r w:rsidR="001437CF">
        <w:t xml:space="preserve"> </w:t>
      </w:r>
    </w:p>
    <w:p w14:paraId="4B4145C9" w14:textId="71EB836C" w:rsidR="00745EEC" w:rsidRDefault="00745EEC" w:rsidP="001437CF">
      <w:pPr>
        <w:widowControl w:val="0"/>
        <w:autoSpaceDE w:val="0"/>
        <w:autoSpaceDN w:val="0"/>
        <w:adjustRightInd w:val="0"/>
        <w:spacing w:after="0"/>
      </w:pPr>
      <w:r>
        <w:rPr>
          <w:i/>
        </w:rPr>
        <w:t>Relational assets</w:t>
      </w:r>
      <w:r w:rsidR="002620DB">
        <w:rPr>
          <w:i/>
        </w:rPr>
        <w:t xml:space="preserve"> </w:t>
      </w:r>
      <w:r w:rsidR="002620DB">
        <w:t>include:</w:t>
      </w:r>
    </w:p>
    <w:p w14:paraId="6B4A8492" w14:textId="76DF3BE1" w:rsidR="00D77E2A" w:rsidRDefault="00D77E2A" w:rsidP="001437CF">
      <w:pPr>
        <w:pStyle w:val="ListParagraph"/>
        <w:widowControl w:val="0"/>
        <w:numPr>
          <w:ilvl w:val="0"/>
          <w:numId w:val="10"/>
        </w:numPr>
        <w:autoSpaceDE w:val="0"/>
        <w:autoSpaceDN w:val="0"/>
        <w:adjustRightInd w:val="0"/>
        <w:ind w:left="144" w:hanging="144"/>
        <w:jc w:val="both"/>
        <w:rPr>
          <w:rFonts w:ascii="Times New Roman" w:hAnsi="Times New Roman"/>
          <w:sz w:val="20"/>
          <w:szCs w:val="20"/>
        </w:rPr>
      </w:pPr>
      <w:r w:rsidRPr="00CF1E7D">
        <w:rPr>
          <w:rFonts w:ascii="Times New Roman" w:hAnsi="Times New Roman"/>
          <w:sz w:val="20"/>
          <w:szCs w:val="20"/>
        </w:rPr>
        <w:t>library-faculty partnerships</w:t>
      </w:r>
      <w:r w:rsidR="00CF1E7D" w:rsidRPr="00CF1E7D">
        <w:rPr>
          <w:rFonts w:ascii="Times New Roman" w:hAnsi="Times New Roman"/>
          <w:sz w:val="20"/>
          <w:szCs w:val="20"/>
        </w:rPr>
        <w:t xml:space="preserve"> for information literacy that can be ex</w:t>
      </w:r>
      <w:r w:rsidR="00497D24">
        <w:rPr>
          <w:rFonts w:ascii="Times New Roman" w:hAnsi="Times New Roman"/>
          <w:sz w:val="20"/>
          <w:szCs w:val="20"/>
        </w:rPr>
        <w:t>ploited</w:t>
      </w:r>
      <w:r w:rsidR="00CF1E7D" w:rsidRPr="00CF1E7D">
        <w:rPr>
          <w:rFonts w:ascii="Times New Roman" w:hAnsi="Times New Roman"/>
          <w:sz w:val="20"/>
          <w:szCs w:val="20"/>
        </w:rPr>
        <w:t xml:space="preserve"> to</w:t>
      </w:r>
      <w:r w:rsidR="00497D24">
        <w:rPr>
          <w:rFonts w:ascii="Times New Roman" w:hAnsi="Times New Roman"/>
          <w:sz w:val="20"/>
          <w:szCs w:val="20"/>
        </w:rPr>
        <w:t xml:space="preserve"> promote</w:t>
      </w:r>
      <w:r w:rsidR="00CF1E7D" w:rsidRPr="00CF1E7D">
        <w:rPr>
          <w:rFonts w:ascii="Times New Roman" w:hAnsi="Times New Roman"/>
          <w:sz w:val="20"/>
          <w:szCs w:val="20"/>
        </w:rPr>
        <w:t xml:space="preserve"> data literacy</w:t>
      </w:r>
      <w:r w:rsidR="00D04FB9">
        <w:rPr>
          <w:rFonts w:ascii="Times New Roman" w:hAnsi="Times New Roman"/>
          <w:sz w:val="20"/>
          <w:szCs w:val="20"/>
        </w:rPr>
        <w:t>, data curation, data management planning</w:t>
      </w:r>
      <w:r w:rsidR="0099310A">
        <w:rPr>
          <w:rFonts w:ascii="Times New Roman" w:hAnsi="Times New Roman"/>
          <w:sz w:val="20"/>
          <w:szCs w:val="20"/>
        </w:rPr>
        <w:t>, etc.</w:t>
      </w:r>
    </w:p>
    <w:p w14:paraId="6A9108CE" w14:textId="139AB821" w:rsidR="00497D24" w:rsidRDefault="00497D24" w:rsidP="007D4815">
      <w:pPr>
        <w:pStyle w:val="ListParagraph"/>
        <w:widowControl w:val="0"/>
        <w:numPr>
          <w:ilvl w:val="0"/>
          <w:numId w:val="10"/>
        </w:numPr>
        <w:autoSpaceDE w:val="0"/>
        <w:autoSpaceDN w:val="0"/>
        <w:adjustRightInd w:val="0"/>
        <w:ind w:left="144" w:hanging="144"/>
        <w:jc w:val="both"/>
        <w:rPr>
          <w:rFonts w:ascii="Times New Roman" w:hAnsi="Times New Roman"/>
          <w:sz w:val="20"/>
          <w:szCs w:val="20"/>
        </w:rPr>
      </w:pPr>
      <w:r>
        <w:rPr>
          <w:rFonts w:ascii="Times New Roman" w:hAnsi="Times New Roman"/>
          <w:sz w:val="20"/>
          <w:szCs w:val="20"/>
        </w:rPr>
        <w:t>library-technology collaborations</w:t>
      </w:r>
      <w:r w:rsidR="00D53179">
        <w:rPr>
          <w:rFonts w:ascii="Times New Roman" w:hAnsi="Times New Roman"/>
          <w:sz w:val="20"/>
          <w:szCs w:val="20"/>
        </w:rPr>
        <w:t xml:space="preserve"> on digital services that can </w:t>
      </w:r>
      <w:r w:rsidR="00762BA0">
        <w:rPr>
          <w:rFonts w:ascii="Times New Roman" w:hAnsi="Times New Roman"/>
          <w:sz w:val="20"/>
          <w:szCs w:val="20"/>
        </w:rPr>
        <w:t>facilitate development of data stor</w:t>
      </w:r>
      <w:r w:rsidR="006A330F">
        <w:rPr>
          <w:rFonts w:ascii="Times New Roman" w:hAnsi="Times New Roman"/>
          <w:sz w:val="20"/>
          <w:szCs w:val="20"/>
        </w:rPr>
        <w:t>age and infrastructure services</w:t>
      </w:r>
    </w:p>
    <w:p w14:paraId="305A8AC9" w14:textId="5017E41C" w:rsidR="00E77B47" w:rsidRPr="00CF1E7D" w:rsidRDefault="0099310A" w:rsidP="00382FCC">
      <w:pPr>
        <w:pStyle w:val="ListParagraph"/>
        <w:widowControl w:val="0"/>
        <w:numPr>
          <w:ilvl w:val="0"/>
          <w:numId w:val="10"/>
        </w:numPr>
        <w:autoSpaceDE w:val="0"/>
        <w:autoSpaceDN w:val="0"/>
        <w:adjustRightInd w:val="0"/>
        <w:spacing w:after="80"/>
        <w:ind w:left="144" w:hanging="144"/>
        <w:jc w:val="both"/>
        <w:rPr>
          <w:rFonts w:ascii="Times New Roman" w:hAnsi="Times New Roman"/>
          <w:sz w:val="20"/>
          <w:szCs w:val="20"/>
        </w:rPr>
      </w:pPr>
      <w:r>
        <w:rPr>
          <w:rFonts w:ascii="Times New Roman" w:hAnsi="Times New Roman"/>
          <w:sz w:val="20"/>
          <w:szCs w:val="20"/>
        </w:rPr>
        <w:t xml:space="preserve">library </w:t>
      </w:r>
      <w:r w:rsidR="00E77B47">
        <w:rPr>
          <w:rFonts w:ascii="Times New Roman" w:hAnsi="Times New Roman"/>
          <w:sz w:val="20"/>
          <w:szCs w:val="20"/>
        </w:rPr>
        <w:t xml:space="preserve">professional networks </w:t>
      </w:r>
      <w:r>
        <w:rPr>
          <w:rFonts w:ascii="Times New Roman" w:hAnsi="Times New Roman"/>
          <w:sz w:val="20"/>
          <w:szCs w:val="20"/>
        </w:rPr>
        <w:t>that enable</w:t>
      </w:r>
      <w:r w:rsidR="00E77B47">
        <w:rPr>
          <w:rFonts w:ascii="Times New Roman" w:hAnsi="Times New Roman"/>
          <w:sz w:val="20"/>
          <w:szCs w:val="20"/>
        </w:rPr>
        <w:t xml:space="preserve"> sharing of best practices</w:t>
      </w:r>
      <w:r>
        <w:rPr>
          <w:rFonts w:ascii="Times New Roman" w:hAnsi="Times New Roman"/>
          <w:sz w:val="20"/>
          <w:szCs w:val="20"/>
        </w:rPr>
        <w:t xml:space="preserve"> via conferences</w:t>
      </w:r>
      <w:r w:rsidR="006A330F">
        <w:rPr>
          <w:rFonts w:ascii="Times New Roman" w:hAnsi="Times New Roman"/>
          <w:sz w:val="20"/>
          <w:szCs w:val="20"/>
        </w:rPr>
        <w:t xml:space="preserve">, </w:t>
      </w:r>
      <w:r w:rsidR="002312D8">
        <w:rPr>
          <w:rFonts w:ascii="Times New Roman" w:hAnsi="Times New Roman"/>
          <w:sz w:val="20"/>
          <w:szCs w:val="20"/>
        </w:rPr>
        <w:t xml:space="preserve">email, </w:t>
      </w:r>
      <w:r w:rsidR="006A330F">
        <w:rPr>
          <w:rFonts w:ascii="Times New Roman" w:hAnsi="Times New Roman"/>
          <w:sz w:val="20"/>
          <w:szCs w:val="20"/>
        </w:rPr>
        <w:t>social media</w:t>
      </w:r>
      <w:r w:rsidR="002312D8">
        <w:rPr>
          <w:rFonts w:ascii="Times New Roman" w:hAnsi="Times New Roman"/>
          <w:sz w:val="20"/>
          <w:szCs w:val="20"/>
        </w:rPr>
        <w:t>, etc.</w:t>
      </w:r>
    </w:p>
    <w:p w14:paraId="51E9B703" w14:textId="77777777" w:rsidR="00C27461" w:rsidRDefault="00961A55" w:rsidP="00ED375D">
      <w:pPr>
        <w:widowControl w:val="0"/>
        <w:autoSpaceDE w:val="0"/>
        <w:autoSpaceDN w:val="0"/>
        <w:adjustRightInd w:val="0"/>
      </w:pPr>
      <w:proofErr w:type="spellStart"/>
      <w:r>
        <w:t>Bracke</w:t>
      </w:r>
      <w:proofErr w:type="spellEnd"/>
      <w:r>
        <w:t xml:space="preserve"> (20</w:t>
      </w:r>
      <w:r w:rsidR="00C16870">
        <w:t xml:space="preserve">11, p. 67) </w:t>
      </w:r>
      <w:r w:rsidR="00FC33C3">
        <w:t>explains</w:t>
      </w:r>
      <w:r w:rsidR="00C16870">
        <w:t xml:space="preserve"> how</w:t>
      </w:r>
      <w:r w:rsidR="00237FD4">
        <w:t xml:space="preserve"> </w:t>
      </w:r>
      <w:r w:rsidR="001C46B6">
        <w:t>librarians</w:t>
      </w:r>
      <w:r w:rsidR="00CB2B66">
        <w:t xml:space="preserve"> can exploit their </w:t>
      </w:r>
      <w:r w:rsidR="00CB2B66" w:rsidRPr="006456F2">
        <w:rPr>
          <w:i/>
        </w:rPr>
        <w:t>re</w:t>
      </w:r>
      <w:r w:rsidR="001C5A40" w:rsidRPr="006456F2">
        <w:rPr>
          <w:i/>
        </w:rPr>
        <w:t>pu</w:t>
      </w:r>
      <w:r w:rsidR="00CB2B66" w:rsidRPr="006456F2">
        <w:rPr>
          <w:i/>
        </w:rPr>
        <w:t>tation</w:t>
      </w:r>
      <w:r w:rsidR="00CB2B66">
        <w:t xml:space="preserve"> as trusted professional</w:t>
      </w:r>
      <w:r w:rsidR="001F504A">
        <w:t>s</w:t>
      </w:r>
      <w:r w:rsidR="00CB2B66">
        <w:t xml:space="preserve"> </w:t>
      </w:r>
      <w:r w:rsidR="001F504A">
        <w:t xml:space="preserve">to </w:t>
      </w:r>
      <w:r w:rsidR="0036713B">
        <w:t>engage with</w:t>
      </w:r>
      <w:r w:rsidR="00AA5343">
        <w:t xml:space="preserve"> data curation</w:t>
      </w:r>
      <w:r w:rsidR="00A76B68">
        <w:t xml:space="preserve">, </w:t>
      </w:r>
      <w:r w:rsidR="00CB39BF">
        <w:t>noting</w:t>
      </w:r>
      <w:r w:rsidR="00A76B68">
        <w:t xml:space="preserve"> they have </w:t>
      </w:r>
      <w:r w:rsidR="00FC33C3">
        <w:t>“established themselves as trusted stewards and educators.”</w:t>
      </w:r>
      <w:r w:rsidR="003E30AC">
        <w:t xml:space="preserve"> She describes how a </w:t>
      </w:r>
      <w:r w:rsidR="00E45DA3">
        <w:t>data repository</w:t>
      </w:r>
      <w:r w:rsidR="00237FD4">
        <w:t xml:space="preserve"> task force at Purdue University</w:t>
      </w:r>
      <w:r w:rsidR="00E45DA3">
        <w:t xml:space="preserve"> partnered with subject librarians</w:t>
      </w:r>
      <w:r w:rsidR="00496845">
        <w:t xml:space="preserve"> “to leverage their relationships with researchers</w:t>
      </w:r>
      <w:r w:rsidR="00354026">
        <w:t>,</w:t>
      </w:r>
      <w:r w:rsidR="00496845">
        <w:t>”</w:t>
      </w:r>
      <w:r w:rsidR="00C16870">
        <w:t xml:space="preserve"> </w:t>
      </w:r>
      <w:r w:rsidR="00013219">
        <w:t xml:space="preserve">and then mentions the positive </w:t>
      </w:r>
      <w:r w:rsidR="00013219" w:rsidRPr="006456F2">
        <w:rPr>
          <w:i/>
        </w:rPr>
        <w:t>image</w:t>
      </w:r>
      <w:r w:rsidR="00013219">
        <w:t xml:space="preserve"> of the subject librarian</w:t>
      </w:r>
      <w:r w:rsidR="009A0DC2">
        <w:t xml:space="preserve"> and the opportunities arising</w:t>
      </w:r>
      <w:r w:rsidR="00BF5565">
        <w:t>:</w:t>
      </w:r>
      <w:r w:rsidR="00507B8E">
        <w:t xml:space="preserve"> </w:t>
      </w:r>
      <w:r w:rsidR="00013219">
        <w:t xml:space="preserve"> </w:t>
      </w:r>
    </w:p>
    <w:p w14:paraId="7F6A887E" w14:textId="0E1ED8B7" w:rsidR="002620DB" w:rsidRDefault="00C16870" w:rsidP="00017870">
      <w:pPr>
        <w:widowControl w:val="0"/>
        <w:autoSpaceDE w:val="0"/>
        <w:autoSpaceDN w:val="0"/>
        <w:adjustRightInd w:val="0"/>
        <w:ind w:left="144" w:right="144" w:firstLine="0"/>
      </w:pPr>
      <w:r>
        <w:t>“F</w:t>
      </w:r>
      <w:r w:rsidR="00961A55">
        <w:t>aculty</w:t>
      </w:r>
      <w:r>
        <w:t xml:space="preserve"> viewed the librarian as a go-to resource for many of their research and teaching needs</w:t>
      </w:r>
      <w:r w:rsidR="00BF5565">
        <w:t xml:space="preserve">. </w:t>
      </w:r>
      <w:r w:rsidR="00D12E7F">
        <w:t>The librarian</w:t>
      </w:r>
      <w:r w:rsidR="00BF5565">
        <w:t xml:space="preserve"> received many word-of-mouth recommendations and </w:t>
      </w:r>
      <w:r w:rsidR="00D12E7F">
        <w:t>took advantage of her social capital to develop more and deeper relationships.”</w:t>
      </w:r>
    </w:p>
    <w:p w14:paraId="0E77CF89" w14:textId="7276D1C8" w:rsidR="00574785" w:rsidRDefault="00574785" w:rsidP="002B6864">
      <w:pPr>
        <w:widowControl w:val="0"/>
        <w:autoSpaceDE w:val="0"/>
        <w:autoSpaceDN w:val="0"/>
        <w:adjustRightInd w:val="0"/>
        <w:spacing w:after="0"/>
      </w:pPr>
      <w:r>
        <w:rPr>
          <w:i/>
        </w:rPr>
        <w:t xml:space="preserve">Structural </w:t>
      </w:r>
      <w:r w:rsidR="004C544F">
        <w:rPr>
          <w:i/>
        </w:rPr>
        <w:t xml:space="preserve">assets </w:t>
      </w:r>
      <w:r w:rsidR="004C544F">
        <w:t>include</w:t>
      </w:r>
      <w:r>
        <w:t>:</w:t>
      </w:r>
    </w:p>
    <w:p w14:paraId="52790740" w14:textId="54C33226" w:rsidR="009A389E" w:rsidRPr="002B6864" w:rsidRDefault="009A389E" w:rsidP="00DB08A9">
      <w:pPr>
        <w:pStyle w:val="ListParagraph"/>
        <w:widowControl w:val="0"/>
        <w:numPr>
          <w:ilvl w:val="0"/>
          <w:numId w:val="13"/>
        </w:numPr>
        <w:autoSpaceDE w:val="0"/>
        <w:autoSpaceDN w:val="0"/>
        <w:adjustRightInd w:val="0"/>
        <w:ind w:left="144" w:hanging="144"/>
        <w:jc w:val="both"/>
        <w:rPr>
          <w:rFonts w:ascii="Times New Roman" w:hAnsi="Times New Roman"/>
          <w:sz w:val="20"/>
          <w:szCs w:val="20"/>
        </w:rPr>
      </w:pPr>
      <w:r w:rsidRPr="002B6864">
        <w:rPr>
          <w:rFonts w:ascii="Times New Roman" w:hAnsi="Times New Roman"/>
          <w:sz w:val="20"/>
          <w:szCs w:val="20"/>
        </w:rPr>
        <w:t>organizational structures</w:t>
      </w:r>
      <w:r w:rsidR="004E0170" w:rsidRPr="002B6864">
        <w:rPr>
          <w:rFonts w:ascii="Times New Roman" w:hAnsi="Times New Roman"/>
          <w:sz w:val="20"/>
          <w:szCs w:val="20"/>
        </w:rPr>
        <w:t xml:space="preserve"> facilitating service development and innovation</w:t>
      </w:r>
    </w:p>
    <w:p w14:paraId="5F67CA06" w14:textId="21916150" w:rsidR="004E0170" w:rsidRPr="002B6864" w:rsidRDefault="004E0170" w:rsidP="00DB08A9">
      <w:pPr>
        <w:pStyle w:val="ListParagraph"/>
        <w:widowControl w:val="0"/>
        <w:numPr>
          <w:ilvl w:val="0"/>
          <w:numId w:val="13"/>
        </w:numPr>
        <w:autoSpaceDE w:val="0"/>
        <w:autoSpaceDN w:val="0"/>
        <w:adjustRightInd w:val="0"/>
        <w:ind w:left="144" w:hanging="144"/>
        <w:jc w:val="both"/>
        <w:rPr>
          <w:rFonts w:ascii="Times New Roman" w:hAnsi="Times New Roman"/>
          <w:sz w:val="20"/>
          <w:szCs w:val="20"/>
        </w:rPr>
      </w:pPr>
      <w:r w:rsidRPr="002B6864">
        <w:rPr>
          <w:rFonts w:ascii="Times New Roman" w:hAnsi="Times New Roman"/>
          <w:sz w:val="20"/>
          <w:szCs w:val="20"/>
        </w:rPr>
        <w:t xml:space="preserve">proven systems and procedures with </w:t>
      </w:r>
      <w:r w:rsidR="00482D30" w:rsidRPr="002B6864">
        <w:rPr>
          <w:rFonts w:ascii="Times New Roman" w:hAnsi="Times New Roman"/>
          <w:sz w:val="20"/>
          <w:szCs w:val="20"/>
        </w:rPr>
        <w:t>potential for extension or repurposing</w:t>
      </w:r>
    </w:p>
    <w:p w14:paraId="4819D1C6" w14:textId="47DCD020" w:rsidR="00482D30" w:rsidRDefault="00B067BC" w:rsidP="00DB08A9">
      <w:pPr>
        <w:pStyle w:val="ListParagraph"/>
        <w:widowControl w:val="0"/>
        <w:numPr>
          <w:ilvl w:val="0"/>
          <w:numId w:val="13"/>
        </w:numPr>
        <w:autoSpaceDE w:val="0"/>
        <w:autoSpaceDN w:val="0"/>
        <w:adjustRightInd w:val="0"/>
        <w:spacing w:after="80"/>
        <w:ind w:left="144" w:hanging="144"/>
        <w:jc w:val="both"/>
        <w:rPr>
          <w:rFonts w:ascii="Times New Roman" w:hAnsi="Times New Roman"/>
          <w:sz w:val="20"/>
          <w:szCs w:val="20"/>
        </w:rPr>
      </w:pPr>
      <w:r>
        <w:rPr>
          <w:rFonts w:ascii="Times New Roman" w:hAnsi="Times New Roman"/>
          <w:sz w:val="20"/>
          <w:szCs w:val="20"/>
        </w:rPr>
        <w:t>tools</w:t>
      </w:r>
      <w:r w:rsidR="00482D30" w:rsidRPr="002B6864">
        <w:rPr>
          <w:rFonts w:ascii="Times New Roman" w:hAnsi="Times New Roman"/>
          <w:sz w:val="20"/>
          <w:szCs w:val="20"/>
        </w:rPr>
        <w:t xml:space="preserve"> available within the professional community.</w:t>
      </w:r>
    </w:p>
    <w:p w14:paraId="3C138902" w14:textId="62ED501E" w:rsidR="00C44E79" w:rsidRDefault="004D2E88" w:rsidP="00356348">
      <w:pPr>
        <w:widowControl w:val="0"/>
        <w:autoSpaceDE w:val="0"/>
        <w:autoSpaceDN w:val="0"/>
        <w:adjustRightInd w:val="0"/>
      </w:pPr>
      <w:r>
        <w:t xml:space="preserve">The value of </w:t>
      </w:r>
      <w:r w:rsidR="001A5DE2">
        <w:t xml:space="preserve">the </w:t>
      </w:r>
      <w:r>
        <w:t>subject liaison librarian</w:t>
      </w:r>
      <w:r w:rsidR="001A5DE2">
        <w:t xml:space="preserve"> </w:t>
      </w:r>
      <w:r w:rsidR="008A6385">
        <w:t>structure</w:t>
      </w:r>
      <w:r w:rsidR="005669FB">
        <w:t xml:space="preserve"> used </w:t>
      </w:r>
      <w:r w:rsidR="00663E93">
        <w:t xml:space="preserve">in </w:t>
      </w:r>
      <w:r w:rsidR="00A83EF2">
        <w:t>many</w:t>
      </w:r>
      <w:r w:rsidR="001A5DE2">
        <w:t xml:space="preserve"> libraries </w:t>
      </w:r>
      <w:r w:rsidR="008A6385">
        <w:t>is evident</w:t>
      </w:r>
      <w:r w:rsidR="00663E93">
        <w:t xml:space="preserve"> </w:t>
      </w:r>
      <w:r w:rsidR="00970AE3">
        <w:t>(</w:t>
      </w:r>
      <w:proofErr w:type="spellStart"/>
      <w:r w:rsidR="00970AE3">
        <w:t>Bracke</w:t>
      </w:r>
      <w:proofErr w:type="spellEnd"/>
      <w:r w:rsidR="00970AE3">
        <w:t>, 2011)</w:t>
      </w:r>
      <w:r w:rsidR="0028339A">
        <w:t>. Such systems enable the</w:t>
      </w:r>
      <w:r w:rsidR="008A6385">
        <w:t xml:space="preserve"> discipline-sensitive approach to services</w:t>
      </w:r>
      <w:r w:rsidR="0028339A">
        <w:t xml:space="preserve"> needed for RDM, but </w:t>
      </w:r>
      <w:r w:rsidR="00D47ABA">
        <w:t xml:space="preserve">are </w:t>
      </w:r>
      <w:r w:rsidR="00A83EF2">
        <w:t>now often complemented by</w:t>
      </w:r>
      <w:r w:rsidR="003012A0">
        <w:t xml:space="preserve"> teams of</w:t>
      </w:r>
      <w:r w:rsidR="00A83EF2">
        <w:t xml:space="preserve"> </w:t>
      </w:r>
      <w:r w:rsidR="003012A0">
        <w:t xml:space="preserve">functional </w:t>
      </w:r>
      <w:r w:rsidR="00CD1C4C">
        <w:t xml:space="preserve">specialists in </w:t>
      </w:r>
      <w:r w:rsidR="0028339A">
        <w:t>RDM</w:t>
      </w:r>
      <w:r w:rsidR="00CD1C4C">
        <w:t xml:space="preserve"> and other areas, </w:t>
      </w:r>
      <w:r w:rsidR="0020306E">
        <w:t xml:space="preserve">who provide </w:t>
      </w:r>
      <w:r w:rsidR="000E75D3">
        <w:t>coordination,</w:t>
      </w:r>
      <w:r w:rsidR="0020306E">
        <w:t xml:space="preserve"> guidance and support</w:t>
      </w:r>
      <w:r w:rsidR="000E75D3">
        <w:t xml:space="preserve"> to frontline liaison</w:t>
      </w:r>
      <w:r w:rsidR="008E135F">
        <w:t>s</w:t>
      </w:r>
      <w:r w:rsidR="00B3042A">
        <w:t xml:space="preserve"> in a hybrid</w:t>
      </w:r>
      <w:r w:rsidR="009D1F99">
        <w:t xml:space="preserve"> model of specialization</w:t>
      </w:r>
      <w:r w:rsidR="00800F41">
        <w:t xml:space="preserve"> (</w:t>
      </w:r>
      <w:r w:rsidR="00800F41" w:rsidRPr="00B3042A">
        <w:t xml:space="preserve">Covert-Vail &amp; Collard, 2012; </w:t>
      </w:r>
      <w:proofErr w:type="spellStart"/>
      <w:r w:rsidR="00800F41" w:rsidRPr="00B3042A">
        <w:t>Jaguszewski</w:t>
      </w:r>
      <w:proofErr w:type="spellEnd"/>
      <w:r w:rsidR="00800F41" w:rsidRPr="00B3042A">
        <w:t xml:space="preserve"> &amp; Williams, 2013)</w:t>
      </w:r>
      <w:r w:rsidR="00800F41">
        <w:t xml:space="preserve">. </w:t>
      </w:r>
      <w:r w:rsidR="00240641">
        <w:t>Specialist</w:t>
      </w:r>
      <w:r w:rsidR="00564EE8">
        <w:t xml:space="preserve"> committees and task forces</w:t>
      </w:r>
      <w:r w:rsidR="00E031AD">
        <w:t xml:space="preserve"> at library and institutional levels</w:t>
      </w:r>
      <w:r w:rsidR="00240641">
        <w:t xml:space="preserve"> are another structural device used to develop </w:t>
      </w:r>
      <w:r w:rsidR="0049728E">
        <w:t>services</w:t>
      </w:r>
      <w:r w:rsidR="00800F41">
        <w:t xml:space="preserve"> and </w:t>
      </w:r>
      <w:r w:rsidR="000F73ED">
        <w:t>promote involvement of the library in new</w:t>
      </w:r>
      <w:r w:rsidR="002462AA">
        <w:t xml:space="preserve"> areas, which also</w:t>
      </w:r>
      <w:r w:rsidR="00C44E79">
        <w:t xml:space="preserve"> creates relational capital.</w:t>
      </w:r>
    </w:p>
    <w:p w14:paraId="1EBEA3E5" w14:textId="156B1B01" w:rsidR="008B57F5" w:rsidRDefault="00F02E58" w:rsidP="001708C4">
      <w:pPr>
        <w:widowControl w:val="0"/>
        <w:autoSpaceDE w:val="0"/>
        <w:autoSpaceDN w:val="0"/>
        <w:adjustRightInd w:val="0"/>
      </w:pPr>
      <w:r>
        <w:t>E</w:t>
      </w:r>
      <w:r w:rsidR="00E01875">
        <w:t>stablished</w:t>
      </w:r>
      <w:r w:rsidR="008B57F5">
        <w:t xml:space="preserve"> </w:t>
      </w:r>
      <w:r>
        <w:t>systems and processes</w:t>
      </w:r>
      <w:r w:rsidR="008B57F5">
        <w:t xml:space="preserve"> facilitating </w:t>
      </w:r>
      <w:r w:rsidR="008E135F">
        <w:t>RDM</w:t>
      </w:r>
      <w:r w:rsidR="000D7A7C">
        <w:t xml:space="preserve"> </w:t>
      </w:r>
      <w:r w:rsidR="008B57F5">
        <w:t xml:space="preserve">service </w:t>
      </w:r>
      <w:r w:rsidR="00FB0795">
        <w:t>development</w:t>
      </w:r>
      <w:r w:rsidR="000D7A7C">
        <w:t xml:space="preserve"> include institutional repositories, </w:t>
      </w:r>
      <w:r w:rsidR="00ED44E3">
        <w:t>reference interview</w:t>
      </w:r>
      <w:r>
        <w:t>s</w:t>
      </w:r>
      <w:r w:rsidR="00ED44E3">
        <w:t xml:space="preserve">, and </w:t>
      </w:r>
      <w:proofErr w:type="spellStart"/>
      <w:r w:rsidR="000D7A7C">
        <w:t>LibGuides</w:t>
      </w:r>
      <w:proofErr w:type="spellEnd"/>
      <w:r w:rsidR="00ED44E3">
        <w:t xml:space="preserve">, </w:t>
      </w:r>
      <w:r>
        <w:t>which have been used to provide advice on</w:t>
      </w:r>
      <w:r w:rsidR="00DA5C8B">
        <w:t xml:space="preserve"> data management planning, digital curation, scientific data repositories,</w:t>
      </w:r>
      <w:r w:rsidR="006829D1">
        <w:t xml:space="preserve"> etc</w:t>
      </w:r>
      <w:r w:rsidR="0014178B">
        <w:t>.</w:t>
      </w:r>
      <w:r w:rsidR="006829D1">
        <w:t xml:space="preserve"> </w:t>
      </w:r>
      <w:r w:rsidR="00E01875">
        <w:t>Community tools</w:t>
      </w:r>
      <w:r w:rsidR="00477905">
        <w:t xml:space="preserve"> that libraries can exploit in research data services include the data management planning tool</w:t>
      </w:r>
      <w:r w:rsidR="00BB394C">
        <w:t>s produced by the</w:t>
      </w:r>
      <w:r w:rsidR="00477905">
        <w:t xml:space="preserve"> Digital Curation Centre</w:t>
      </w:r>
      <w:r w:rsidR="00BB394C">
        <w:t xml:space="preserve"> and California Digital Library, and the Data Curation Profiles Toolkit produced by Purdue</w:t>
      </w:r>
      <w:r w:rsidR="00CC5C0E">
        <w:t xml:space="preserve"> (</w:t>
      </w:r>
      <w:proofErr w:type="spellStart"/>
      <w:r w:rsidR="00CC5C0E">
        <w:t>Bracke</w:t>
      </w:r>
      <w:proofErr w:type="spellEnd"/>
      <w:r w:rsidR="00CC5C0E">
        <w:t>, 2011; Corrall, 2012).</w:t>
      </w:r>
    </w:p>
    <w:p w14:paraId="52860E97" w14:textId="1D329B9C" w:rsidR="00B0577D" w:rsidRPr="00250A30" w:rsidRDefault="00356003" w:rsidP="00CB7045">
      <w:pPr>
        <w:spacing w:after="0"/>
        <w:ind w:firstLine="0"/>
        <w:rPr>
          <w:i/>
        </w:rPr>
      </w:pPr>
      <w:r w:rsidRPr="00250A30">
        <w:rPr>
          <w:i/>
        </w:rPr>
        <w:t xml:space="preserve">Library </w:t>
      </w:r>
      <w:r w:rsidR="008E135F">
        <w:rPr>
          <w:i/>
        </w:rPr>
        <w:t>Models for Asset E</w:t>
      </w:r>
      <w:r w:rsidR="00304A38" w:rsidRPr="00250A30">
        <w:rPr>
          <w:i/>
        </w:rPr>
        <w:t>valuation</w:t>
      </w:r>
    </w:p>
    <w:p w14:paraId="3C0E49DA" w14:textId="35459EB0" w:rsidR="00C754DC" w:rsidRDefault="005D1499" w:rsidP="00EC0418">
      <w:r>
        <w:t>Scorecard</w:t>
      </w:r>
      <w:r w:rsidR="00B972EC">
        <w:t>s</w:t>
      </w:r>
      <w:r>
        <w:t xml:space="preserve"> have emerged as </w:t>
      </w:r>
      <w:r w:rsidR="005632FF">
        <w:t xml:space="preserve">the </w:t>
      </w:r>
      <w:r w:rsidR="00B704BA">
        <w:t>approach</w:t>
      </w:r>
      <w:r w:rsidR="00B972EC">
        <w:t xml:space="preserve"> </w:t>
      </w:r>
      <w:r w:rsidR="005632FF">
        <w:t xml:space="preserve">most often </w:t>
      </w:r>
      <w:r w:rsidR="00807C61">
        <w:t>used</w:t>
      </w:r>
      <w:r w:rsidR="005119D0">
        <w:t xml:space="preserve"> by libraries </w:t>
      </w:r>
      <w:r w:rsidR="00B972EC">
        <w:t>for evaluation of</w:t>
      </w:r>
      <w:r w:rsidR="005119D0">
        <w:t xml:space="preserve"> IAs</w:t>
      </w:r>
      <w:r w:rsidR="00B704BA">
        <w:t xml:space="preserve">, but </w:t>
      </w:r>
      <w:r w:rsidR="00A90DC6">
        <w:t xml:space="preserve">the </w:t>
      </w:r>
      <w:r w:rsidR="00B704BA">
        <w:t>specific methods</w:t>
      </w:r>
      <w:r w:rsidR="00A90DC6">
        <w:t xml:space="preserve"> </w:t>
      </w:r>
      <w:r w:rsidR="00375547">
        <w:t xml:space="preserve">and particular tools </w:t>
      </w:r>
      <w:r w:rsidR="005A69C0">
        <w:t>deployed</w:t>
      </w:r>
      <w:r w:rsidR="00A90DC6">
        <w:t xml:space="preserve"> </w:t>
      </w:r>
      <w:r w:rsidR="00375547">
        <w:t>vary within this general framework.</w:t>
      </w:r>
      <w:r w:rsidR="00EB2DDE">
        <w:t xml:space="preserve"> </w:t>
      </w:r>
      <w:r w:rsidR="00E0605F">
        <w:t xml:space="preserve">Methods frequently used </w:t>
      </w:r>
      <w:r w:rsidR="00851C91">
        <w:t xml:space="preserve">in LIS </w:t>
      </w:r>
      <w:r w:rsidR="00E0605F">
        <w:t>to identify IAs</w:t>
      </w:r>
      <w:r w:rsidR="00EB2DDE">
        <w:t xml:space="preserve"> </w:t>
      </w:r>
      <w:r w:rsidR="00F57C25">
        <w:t>are</w:t>
      </w:r>
      <w:r w:rsidR="00851C91">
        <w:t xml:space="preserve"> document analysis</w:t>
      </w:r>
      <w:r w:rsidR="004D7B73">
        <w:t xml:space="preserve"> (e.g., strateg</w:t>
      </w:r>
      <w:r w:rsidR="00874078">
        <w:t>y documents</w:t>
      </w:r>
      <w:r w:rsidR="004D7B73">
        <w:t xml:space="preserve">, </w:t>
      </w:r>
      <w:r w:rsidR="00961593">
        <w:t>organization charts</w:t>
      </w:r>
      <w:r w:rsidR="001C48E0">
        <w:t>)</w:t>
      </w:r>
      <w:r w:rsidR="00C45A7D">
        <w:t>;</w:t>
      </w:r>
      <w:r w:rsidR="00072921">
        <w:t xml:space="preserve"> interviews</w:t>
      </w:r>
      <w:r w:rsidR="007438AA">
        <w:t xml:space="preserve"> (</w:t>
      </w:r>
      <w:r w:rsidR="00EF5F09">
        <w:t xml:space="preserve">e.g., </w:t>
      </w:r>
      <w:r w:rsidR="007438AA">
        <w:t>library managers, information specialists,</w:t>
      </w:r>
      <w:r w:rsidR="00837175">
        <w:t xml:space="preserve"> </w:t>
      </w:r>
      <w:r w:rsidR="00F57C25">
        <w:t>service stakeholders</w:t>
      </w:r>
      <w:r w:rsidR="001C48E0">
        <w:t>);</w:t>
      </w:r>
      <w:r w:rsidR="00C45A7D">
        <w:t xml:space="preserve"> and </w:t>
      </w:r>
      <w:r w:rsidR="00EC0418">
        <w:t>q</w:t>
      </w:r>
      <w:r w:rsidR="00C45A7D">
        <w:t>uestionnaires</w:t>
      </w:r>
      <w:r w:rsidR="00BA3A81">
        <w:t xml:space="preserve"> (e.g., staff skills audits</w:t>
      </w:r>
      <w:r w:rsidR="003639C5">
        <w:t xml:space="preserve"> and user </w:t>
      </w:r>
      <w:r w:rsidR="00BA3A81">
        <w:t>experience/</w:t>
      </w:r>
      <w:r w:rsidR="003639C5">
        <w:t>satisfaction surveys).</w:t>
      </w:r>
      <w:r w:rsidR="00BD3E07">
        <w:t xml:space="preserve"> </w:t>
      </w:r>
    </w:p>
    <w:p w14:paraId="1C73FBF2" w14:textId="70D4CBA1" w:rsidR="00B72FD4" w:rsidRDefault="00D56E2B" w:rsidP="00427DC0">
      <w:pPr>
        <w:widowControl w:val="0"/>
        <w:autoSpaceDE w:val="0"/>
        <w:autoSpaceDN w:val="0"/>
        <w:adjustRightInd w:val="0"/>
      </w:pPr>
      <w:r>
        <w:t xml:space="preserve">Library </w:t>
      </w:r>
      <w:r w:rsidR="0074113A">
        <w:t xml:space="preserve">IC </w:t>
      </w:r>
      <w:r w:rsidR="00E14DDA">
        <w:t>investigations</w:t>
      </w:r>
      <w:r w:rsidR="0074113A">
        <w:t xml:space="preserve"> typically</w:t>
      </w:r>
      <w:r w:rsidR="00E14DDA">
        <w:t xml:space="preserve"> use multiple sources of data, </w:t>
      </w:r>
      <w:r>
        <w:t>including data primarily collected for other purposes;</w:t>
      </w:r>
      <w:r w:rsidR="00E14DDA">
        <w:t xml:space="preserve"> </w:t>
      </w:r>
      <w:r>
        <w:t xml:space="preserve">for example, </w:t>
      </w:r>
      <w:proofErr w:type="spellStart"/>
      <w:r w:rsidR="009460C4">
        <w:t>Cribb</w:t>
      </w:r>
      <w:proofErr w:type="spellEnd"/>
      <w:r w:rsidR="009460C4">
        <w:t xml:space="preserve"> (2005</w:t>
      </w:r>
      <w:r w:rsidR="00E42359">
        <w:t>, p. 11</w:t>
      </w:r>
      <w:r w:rsidR="009460C4">
        <w:t xml:space="preserve">) notes that </w:t>
      </w:r>
      <w:r w:rsidR="00E42359">
        <w:t>“</w:t>
      </w:r>
      <w:r w:rsidR="00E42359" w:rsidRPr="00E42359">
        <w:rPr>
          <w:rFonts w:eastAsiaTheme="minorHAnsi"/>
        </w:rPr>
        <w:t>The staff perception survey conducted every two years helps library management</w:t>
      </w:r>
      <w:r w:rsidR="00E42359">
        <w:rPr>
          <w:rFonts w:eastAsiaTheme="minorHAnsi"/>
        </w:rPr>
        <w:t xml:space="preserve"> </w:t>
      </w:r>
      <w:r w:rsidR="00E42359" w:rsidRPr="00E42359">
        <w:rPr>
          <w:rFonts w:eastAsiaTheme="minorHAnsi"/>
        </w:rPr>
        <w:t>understand the cultural readiness of the staff</w:t>
      </w:r>
      <w:r w:rsidR="006217DF">
        <w:rPr>
          <w:rFonts w:eastAsiaTheme="minorHAnsi"/>
        </w:rPr>
        <w:t>”</w:t>
      </w:r>
      <w:r w:rsidR="00E42359" w:rsidRPr="00E42359">
        <w:rPr>
          <w:rFonts w:eastAsiaTheme="minorHAnsi"/>
        </w:rPr>
        <w:t>.</w:t>
      </w:r>
      <w:r w:rsidR="009460C4" w:rsidRPr="00E42359">
        <w:t xml:space="preserve"> </w:t>
      </w:r>
      <w:r w:rsidR="00A434D1">
        <w:t>LIS researchers</w:t>
      </w:r>
      <w:r w:rsidR="00735FA8">
        <w:t xml:space="preserve"> have also used ready-made inst</w:t>
      </w:r>
      <w:r w:rsidR="00692B74">
        <w:t>ruments from the business world:</w:t>
      </w:r>
      <w:r w:rsidR="00735FA8">
        <w:t xml:space="preserve"> </w:t>
      </w:r>
      <w:r w:rsidR="006217DF">
        <w:t xml:space="preserve">Van Deventer (2002) </w:t>
      </w:r>
      <w:r w:rsidR="0048440B">
        <w:t>adapted</w:t>
      </w:r>
      <w:r w:rsidR="006217DF">
        <w:t xml:space="preserve"> </w:t>
      </w:r>
      <w:proofErr w:type="spellStart"/>
      <w:r w:rsidR="006217DF" w:rsidRPr="00C754DC">
        <w:t>Sveiby’s</w:t>
      </w:r>
      <w:proofErr w:type="spellEnd"/>
      <w:r w:rsidR="006217DF" w:rsidRPr="00C754DC">
        <w:t xml:space="preserve"> (2001, p.</w:t>
      </w:r>
      <w:r w:rsidR="006217DF">
        <w:t xml:space="preserve"> 353) knowledge strategy questions for the LIS context</w:t>
      </w:r>
      <w:r w:rsidR="0048440B">
        <w:t>,</w:t>
      </w:r>
      <w:r w:rsidR="006217DF">
        <w:t xml:space="preserve"> expanding the question set from nine to 16.</w:t>
      </w:r>
      <w:r w:rsidR="006217DF">
        <w:rPr>
          <w:rFonts w:eastAsiaTheme="minorHAnsi"/>
        </w:rPr>
        <w:t xml:space="preserve"> </w:t>
      </w:r>
      <w:proofErr w:type="spellStart"/>
      <w:r w:rsidR="00CC5AF4">
        <w:t>Dak</w:t>
      </w:r>
      <w:r w:rsidR="00281450">
        <w:t>ers</w:t>
      </w:r>
      <w:proofErr w:type="spellEnd"/>
      <w:r w:rsidR="00281450">
        <w:t xml:space="preserve"> (1998, pp. 239-242) designed</w:t>
      </w:r>
      <w:r w:rsidR="00CC5AF4">
        <w:t xml:space="preserve"> her own questionnaire</w:t>
      </w:r>
      <w:r w:rsidR="00C754DC">
        <w:t xml:space="preserve"> tool</w:t>
      </w:r>
      <w:r w:rsidR="008321DD">
        <w:t>, “tell us about your talents”</w:t>
      </w:r>
      <w:r w:rsidR="00C754DC">
        <w:t>,</w:t>
      </w:r>
      <w:r w:rsidR="008321DD">
        <w:t xml:space="preserve"> for </w:t>
      </w:r>
      <w:r w:rsidR="00B052B2">
        <w:t>“</w:t>
      </w:r>
      <w:r w:rsidR="00C754DC">
        <w:t>auditing the people assets” at T</w:t>
      </w:r>
      <w:r w:rsidR="00B052B2">
        <w:t>he British Library</w:t>
      </w:r>
      <w:r w:rsidR="00C754DC">
        <w:t>, and appended</w:t>
      </w:r>
      <w:r w:rsidR="005710C1">
        <w:t xml:space="preserve"> her draft instrument</w:t>
      </w:r>
      <w:r w:rsidR="00281450">
        <w:t>, offering potential for re-use</w:t>
      </w:r>
      <w:r w:rsidR="005710C1">
        <w:t xml:space="preserve"> by other LIS</w:t>
      </w:r>
      <w:r w:rsidR="00B052B2">
        <w:t>.</w:t>
      </w:r>
      <w:r w:rsidR="00CC5AF4">
        <w:t xml:space="preserve"> </w:t>
      </w:r>
    </w:p>
    <w:p w14:paraId="4FC864A7" w14:textId="1D57D382" w:rsidR="00AC17DF" w:rsidRDefault="00AA3229" w:rsidP="00BB0D5E">
      <w:pPr>
        <w:widowControl w:val="0"/>
        <w:autoSpaceDE w:val="0"/>
        <w:autoSpaceDN w:val="0"/>
        <w:adjustRightInd w:val="0"/>
        <w:spacing w:after="0"/>
      </w:pPr>
      <w:r>
        <w:t xml:space="preserve">Several </w:t>
      </w:r>
      <w:r w:rsidR="001D3481">
        <w:t>resear</w:t>
      </w:r>
      <w:r w:rsidR="004039B0">
        <w:t>chers have developed</w:t>
      </w:r>
      <w:r w:rsidR="00C322BA">
        <w:t xml:space="preserve"> </w:t>
      </w:r>
      <w:r w:rsidR="00832F56">
        <w:t>(</w:t>
      </w:r>
      <w:r w:rsidR="00C322BA">
        <w:t>and later refined</w:t>
      </w:r>
      <w:r w:rsidR="00832F56">
        <w:t>)</w:t>
      </w:r>
      <w:r w:rsidR="004039B0">
        <w:t xml:space="preserve"> </w:t>
      </w:r>
      <w:r w:rsidR="00AC3A10">
        <w:t xml:space="preserve">frameworks </w:t>
      </w:r>
      <w:r w:rsidR="00FC1FDD">
        <w:t>to guide the process of evaluating and managing</w:t>
      </w:r>
      <w:r w:rsidR="00557D4B">
        <w:t xml:space="preserve"> IAs</w:t>
      </w:r>
      <w:r w:rsidR="00CB6028">
        <w:t xml:space="preserve"> in academic, public and special LIS</w:t>
      </w:r>
      <w:r w:rsidR="00557D4B">
        <w:t xml:space="preserve"> (</w:t>
      </w:r>
      <w:proofErr w:type="spellStart"/>
      <w:r w:rsidR="00557D4B">
        <w:t>Kostagiolas</w:t>
      </w:r>
      <w:proofErr w:type="spellEnd"/>
      <w:r w:rsidR="00557D4B">
        <w:t xml:space="preserve"> &amp; </w:t>
      </w:r>
      <w:proofErr w:type="spellStart"/>
      <w:r w:rsidR="00557D4B">
        <w:t>Asonitis</w:t>
      </w:r>
      <w:proofErr w:type="spellEnd"/>
      <w:r w:rsidR="00557D4B">
        <w:t xml:space="preserve">, 2009; </w:t>
      </w:r>
      <w:proofErr w:type="spellStart"/>
      <w:r w:rsidR="00557D4B">
        <w:t>Kostagiolas</w:t>
      </w:r>
      <w:proofErr w:type="spellEnd"/>
      <w:r w:rsidR="00557D4B">
        <w:t xml:space="preserve">, 2013; </w:t>
      </w:r>
      <w:proofErr w:type="spellStart"/>
      <w:r w:rsidR="00F2774C">
        <w:t>Sriborisutsakul</w:t>
      </w:r>
      <w:proofErr w:type="spellEnd"/>
      <w:r w:rsidR="00F2774C">
        <w:t xml:space="preserve">, 2010; Van Deventer &amp; </w:t>
      </w:r>
      <w:proofErr w:type="spellStart"/>
      <w:r w:rsidR="00F2774C">
        <w:t>Snyman</w:t>
      </w:r>
      <w:proofErr w:type="spellEnd"/>
      <w:r w:rsidR="00F2774C">
        <w:t>, 2004)</w:t>
      </w:r>
      <w:r w:rsidR="00AB74FA">
        <w:t>. Some are high-level models, which include financial/</w:t>
      </w:r>
      <w:r w:rsidR="006A0896">
        <w:t xml:space="preserve"> </w:t>
      </w:r>
      <w:r w:rsidR="00AB74FA">
        <w:t>tangible assets</w:t>
      </w:r>
      <w:r w:rsidR="00C322BA">
        <w:t xml:space="preserve"> alongside intangibles</w:t>
      </w:r>
      <w:r w:rsidR="00AB74FA">
        <w:t xml:space="preserve"> for completeness (</w:t>
      </w:r>
      <w:r w:rsidR="00565BD6">
        <w:t>e.g.,</w:t>
      </w:r>
      <w:r w:rsidR="00AB74FA">
        <w:t xml:space="preserve"> </w:t>
      </w:r>
      <w:proofErr w:type="spellStart"/>
      <w:r w:rsidR="00AB74FA">
        <w:t>Kostagiolas</w:t>
      </w:r>
      <w:proofErr w:type="spellEnd"/>
      <w:r w:rsidR="00AB74FA">
        <w:t xml:space="preserve">, 2013; </w:t>
      </w:r>
      <w:r w:rsidR="00565BD6">
        <w:t xml:space="preserve">Van Deventer &amp; </w:t>
      </w:r>
      <w:proofErr w:type="spellStart"/>
      <w:r w:rsidR="00565BD6">
        <w:t>Snyman</w:t>
      </w:r>
      <w:proofErr w:type="spellEnd"/>
      <w:r w:rsidR="00565BD6">
        <w:t>, 2004).</w:t>
      </w:r>
      <w:r w:rsidR="00C322BA">
        <w:t xml:space="preserve"> </w:t>
      </w:r>
      <w:proofErr w:type="spellStart"/>
      <w:r w:rsidR="001B045A">
        <w:t>Sriborisutsakul</w:t>
      </w:r>
      <w:proofErr w:type="spellEnd"/>
      <w:r w:rsidR="001B045A">
        <w:t xml:space="preserve"> (2010, </w:t>
      </w:r>
      <w:r w:rsidR="00A16AB0">
        <w:t xml:space="preserve">p. 220) provides </w:t>
      </w:r>
      <w:r w:rsidR="00CE39C5">
        <w:t>a</w:t>
      </w:r>
      <w:r w:rsidR="000D6295">
        <w:t xml:space="preserve"> </w:t>
      </w:r>
      <w:r w:rsidR="00731A3A">
        <w:t>process model</w:t>
      </w:r>
      <w:r w:rsidR="006A0896">
        <w:t xml:space="preserve"> based on</w:t>
      </w:r>
      <w:r w:rsidR="00731A3A">
        <w:t xml:space="preserve"> </w:t>
      </w:r>
      <w:r w:rsidR="00E31ADA">
        <w:t xml:space="preserve">real-world </w:t>
      </w:r>
      <w:r w:rsidR="00731A3A">
        <w:t>experience of developing</w:t>
      </w:r>
      <w:r w:rsidR="000D6295">
        <w:t xml:space="preserve"> performance indicators and operational measures</w:t>
      </w:r>
      <w:r w:rsidR="00325FA5">
        <w:t xml:space="preserve"> at</w:t>
      </w:r>
      <w:r w:rsidR="00E31ADA">
        <w:t xml:space="preserve"> </w:t>
      </w:r>
      <w:r w:rsidR="006A0896">
        <w:t>university</w:t>
      </w:r>
      <w:r w:rsidR="00CE39C5">
        <w:t xml:space="preserve"> libraries in Thailand</w:t>
      </w:r>
      <w:r w:rsidR="00BF7D0C">
        <w:t>.</w:t>
      </w:r>
      <w:r w:rsidR="00325FA5">
        <w:t xml:space="preserve"> </w:t>
      </w:r>
      <w:r w:rsidR="00BB0D5E">
        <w:t>It</w:t>
      </w:r>
      <w:r w:rsidR="00F02DFF">
        <w:t xml:space="preserve"> is not context-specific and </w:t>
      </w:r>
      <w:r w:rsidR="006F0BFA">
        <w:t>could be used</w:t>
      </w:r>
      <w:r w:rsidR="0085106A">
        <w:t xml:space="preserve"> in other</w:t>
      </w:r>
      <w:r w:rsidR="00BF7D0C">
        <w:t xml:space="preserve"> sectors</w:t>
      </w:r>
      <w:r w:rsidR="00BB0D5E">
        <w:t xml:space="preserve"> and</w:t>
      </w:r>
      <w:r w:rsidR="00BF7D0C">
        <w:t xml:space="preserve"> in other countries.</w:t>
      </w:r>
      <w:r w:rsidR="009B3F25">
        <w:t xml:space="preserve"> Figures </w:t>
      </w:r>
      <w:r w:rsidR="00BB0D5E">
        <w:t>4</w:t>
      </w:r>
      <w:r w:rsidR="00DA3445">
        <w:t xml:space="preserve"> show</w:t>
      </w:r>
      <w:r w:rsidR="0099467C">
        <w:t>s</w:t>
      </w:r>
      <w:r w:rsidR="00DA3445">
        <w:t xml:space="preserve"> the </w:t>
      </w:r>
      <w:r w:rsidR="005667CD">
        <w:t xml:space="preserve">basic </w:t>
      </w:r>
      <w:r w:rsidR="00DA3445">
        <w:t xml:space="preserve">steps </w:t>
      </w:r>
      <w:r w:rsidR="00D708DC">
        <w:t>of the process</w:t>
      </w:r>
      <w:r w:rsidR="002F53A0">
        <w:t xml:space="preserve"> </w:t>
      </w:r>
      <w:r w:rsidR="003F5D82">
        <w:t xml:space="preserve">from identifying </w:t>
      </w:r>
      <w:r w:rsidR="005667CD">
        <w:t>IAs</w:t>
      </w:r>
      <w:r w:rsidR="003F5D82">
        <w:t xml:space="preserve"> to impl</w:t>
      </w:r>
      <w:r w:rsidR="00F853B9">
        <w:t>e</w:t>
      </w:r>
      <w:r w:rsidR="003F5D82">
        <w:t>menting</w:t>
      </w:r>
      <w:r w:rsidR="00F7133E">
        <w:t xml:space="preserve"> performance indicators.</w:t>
      </w:r>
      <w:r w:rsidR="003950D0">
        <w:t xml:space="preserve"> </w:t>
      </w:r>
      <w:r w:rsidR="00AC17DF">
        <w:rPr>
          <w:noProof/>
        </w:rPr>
        <w:drawing>
          <wp:inline distT="0" distB="0" distL="0" distR="0" wp14:anchorId="55CA3F4C" wp14:editId="4AEB1E46">
            <wp:extent cx="2933700" cy="2032000"/>
            <wp:effectExtent l="0" t="0" r="1270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l="3500" t="8667" r="3500" b="5334"/>
                    <a:stretch>
                      <a:fillRect/>
                    </a:stretch>
                  </pic:blipFill>
                  <pic:spPr bwMode="auto">
                    <a:xfrm>
                      <a:off x="0" y="0"/>
                      <a:ext cx="2933700" cy="2032000"/>
                    </a:xfrm>
                    <a:prstGeom prst="rect">
                      <a:avLst/>
                    </a:prstGeom>
                    <a:noFill/>
                    <a:ln>
                      <a:noFill/>
                    </a:ln>
                  </pic:spPr>
                </pic:pic>
              </a:graphicData>
            </a:graphic>
          </wp:inline>
        </w:drawing>
      </w:r>
    </w:p>
    <w:p w14:paraId="3E8299BF" w14:textId="324B1C47" w:rsidR="00623AC9" w:rsidRDefault="00356348" w:rsidP="00AC45CF">
      <w:pPr>
        <w:spacing w:before="120" w:after="0"/>
        <w:ind w:firstLine="0"/>
        <w:jc w:val="center"/>
      </w:pPr>
      <w:r>
        <w:t>Figure 4</w:t>
      </w:r>
      <w:r w:rsidR="00623AC9">
        <w:t>. Systematic indicator development process</w:t>
      </w:r>
    </w:p>
    <w:p w14:paraId="335108FB" w14:textId="77777777" w:rsidR="00623AC9" w:rsidRDefault="00623AC9" w:rsidP="00356348">
      <w:pPr>
        <w:spacing w:after="120"/>
        <w:ind w:firstLine="0"/>
        <w:jc w:val="center"/>
      </w:pPr>
      <w:r>
        <w:t>(</w:t>
      </w:r>
      <w:proofErr w:type="spellStart"/>
      <w:r>
        <w:t>Sborisutsakul</w:t>
      </w:r>
      <w:proofErr w:type="spellEnd"/>
      <w:r>
        <w:t>, 2010)</w:t>
      </w:r>
    </w:p>
    <w:p w14:paraId="4D59F565" w14:textId="048C5FF0" w:rsidR="00F7133E" w:rsidRPr="00A16CA1" w:rsidRDefault="00F7133E" w:rsidP="00DB08A9">
      <w:pPr>
        <w:spacing w:after="120"/>
      </w:pPr>
      <w:bookmarkStart w:id="0" w:name="_GoBack"/>
      <w:r>
        <w:t xml:space="preserve">Figure 5 shows </w:t>
      </w:r>
      <w:proofErr w:type="spellStart"/>
      <w:r>
        <w:t>Sriborisutsakul’s</w:t>
      </w:r>
      <w:proofErr w:type="spellEnd"/>
      <w:r>
        <w:t xml:space="preserve"> (2010) adapta</w:t>
      </w:r>
      <w:r w:rsidR="00574FEA">
        <w:t>tion of the scorecard approach to develop</w:t>
      </w:r>
      <w:r w:rsidR="00414F1B">
        <w:t xml:space="preserve"> performance indicators for IAs</w:t>
      </w:r>
      <w:r w:rsidR="00574FEA">
        <w:t>,</w:t>
      </w:r>
      <w:r w:rsidR="00447002">
        <w:t xml:space="preserve"> which </w:t>
      </w:r>
      <w:r w:rsidR="00D76D14">
        <w:t xml:space="preserve">starts by identifying IAs </w:t>
      </w:r>
      <w:r w:rsidR="006D625A">
        <w:t>supporting</w:t>
      </w:r>
      <w:r w:rsidR="00D76D14">
        <w:t xml:space="preserve"> the strategic priorities for the library</w:t>
      </w:r>
      <w:r w:rsidR="006D625A">
        <w:t>.</w:t>
      </w:r>
    </w:p>
    <w:bookmarkEnd w:id="0"/>
    <w:p w14:paraId="38F55133" w14:textId="3032E986" w:rsidR="00AC17DF" w:rsidRDefault="0070158B" w:rsidP="006D625A">
      <w:pPr>
        <w:ind w:firstLine="0"/>
      </w:pPr>
      <w:r>
        <w:rPr>
          <w:noProof/>
        </w:rPr>
        <w:drawing>
          <wp:inline distT="0" distB="0" distL="0" distR="0" wp14:anchorId="61C02C9C" wp14:editId="247C4B0B">
            <wp:extent cx="2921000" cy="2133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l="2000" t="5334" r="2000" b="1334"/>
                    <a:stretch>
                      <a:fillRect/>
                    </a:stretch>
                  </pic:blipFill>
                  <pic:spPr bwMode="auto">
                    <a:xfrm>
                      <a:off x="0" y="0"/>
                      <a:ext cx="2921000" cy="2133600"/>
                    </a:xfrm>
                    <a:prstGeom prst="rect">
                      <a:avLst/>
                    </a:prstGeom>
                    <a:noFill/>
                    <a:ln>
                      <a:noFill/>
                    </a:ln>
                  </pic:spPr>
                </pic:pic>
              </a:graphicData>
            </a:graphic>
          </wp:inline>
        </w:drawing>
      </w:r>
    </w:p>
    <w:p w14:paraId="0FFE9612" w14:textId="2CA97348" w:rsidR="00623AC9" w:rsidRDefault="003519DF" w:rsidP="003519DF">
      <w:pPr>
        <w:spacing w:before="120" w:after="0"/>
        <w:ind w:firstLine="0"/>
        <w:jc w:val="center"/>
      </w:pPr>
      <w:r>
        <w:t>Figure 5</w:t>
      </w:r>
      <w:r w:rsidR="00623AC9">
        <w:t>. Simplified scorecard approach</w:t>
      </w:r>
    </w:p>
    <w:p w14:paraId="34CFE48A" w14:textId="77777777" w:rsidR="00623AC9" w:rsidRDefault="00623AC9" w:rsidP="00623AC9">
      <w:pPr>
        <w:spacing w:after="0"/>
        <w:ind w:firstLine="0"/>
        <w:jc w:val="center"/>
      </w:pPr>
      <w:r>
        <w:t>(</w:t>
      </w:r>
      <w:proofErr w:type="spellStart"/>
      <w:r>
        <w:t>Sborisutsakul</w:t>
      </w:r>
      <w:proofErr w:type="spellEnd"/>
      <w:r>
        <w:t>, 2010)</w:t>
      </w:r>
    </w:p>
    <w:p w14:paraId="267F5E39" w14:textId="77777777" w:rsidR="00642430" w:rsidRDefault="00642430" w:rsidP="003519DF">
      <w:pPr>
        <w:spacing w:before="40"/>
        <w:ind w:firstLine="0"/>
        <w:jc w:val="center"/>
      </w:pPr>
    </w:p>
    <w:p w14:paraId="742ADD3E" w14:textId="1924CF7F" w:rsidR="007305EF" w:rsidRPr="000D5AC7" w:rsidRDefault="000D5AC7" w:rsidP="00A36831">
      <w:pPr>
        <w:widowControl w:val="0"/>
        <w:autoSpaceDE w:val="0"/>
        <w:autoSpaceDN w:val="0"/>
        <w:adjustRightInd w:val="0"/>
        <w:ind w:firstLine="0"/>
        <w:jc w:val="left"/>
        <w:rPr>
          <w:rFonts w:ascii="Arial" w:hAnsi="Arial" w:cs="Arial"/>
          <w:b/>
          <w:sz w:val="22"/>
          <w:szCs w:val="22"/>
          <w:lang w:val="en"/>
        </w:rPr>
      </w:pPr>
      <w:r w:rsidRPr="000D5AC7">
        <w:rPr>
          <w:rFonts w:ascii="Arial" w:hAnsi="Arial" w:cs="Arial"/>
          <w:b/>
          <w:sz w:val="22"/>
          <w:szCs w:val="22"/>
          <w:lang w:val="en"/>
        </w:rPr>
        <w:t>Conclusions</w:t>
      </w:r>
      <w:r w:rsidR="007305EF" w:rsidRPr="000D5AC7">
        <w:rPr>
          <w:rFonts w:ascii="Arial" w:hAnsi="Arial" w:cs="Arial"/>
          <w:b/>
          <w:sz w:val="22"/>
          <w:szCs w:val="22"/>
          <w:lang w:val="en"/>
        </w:rPr>
        <w:t xml:space="preserve"> </w:t>
      </w:r>
    </w:p>
    <w:p w14:paraId="714E64FC" w14:textId="2E1C149A" w:rsidR="00A16CA1" w:rsidRPr="007305EF" w:rsidRDefault="00EC5E4F" w:rsidP="00A36831">
      <w:pPr>
        <w:widowControl w:val="0"/>
        <w:autoSpaceDE w:val="0"/>
        <w:autoSpaceDN w:val="0"/>
        <w:adjustRightInd w:val="0"/>
      </w:pPr>
      <w:r w:rsidRPr="007305EF">
        <w:rPr>
          <w:lang w:val="en"/>
        </w:rPr>
        <w:t xml:space="preserve">Libraries need to extend  their </w:t>
      </w:r>
      <w:r>
        <w:rPr>
          <w:lang w:val="en"/>
        </w:rPr>
        <w:t xml:space="preserve">measurement and </w:t>
      </w:r>
      <w:r w:rsidRPr="007305EF">
        <w:rPr>
          <w:lang w:val="en"/>
        </w:rPr>
        <w:t xml:space="preserve">assessment systems to </w:t>
      </w:r>
      <w:r>
        <w:rPr>
          <w:lang w:val="en"/>
        </w:rPr>
        <w:t xml:space="preserve">provide a fuller picture of their contribution and impact on individuals and communities. </w:t>
      </w:r>
      <w:r w:rsidR="007305EF" w:rsidRPr="007305EF">
        <w:rPr>
          <w:lang w:val="en"/>
        </w:rPr>
        <w:t xml:space="preserve">An </w:t>
      </w:r>
      <w:r w:rsidR="00F77B0E">
        <w:rPr>
          <w:lang w:val="en"/>
        </w:rPr>
        <w:t>IC</w:t>
      </w:r>
      <w:r w:rsidR="007305EF" w:rsidRPr="007305EF">
        <w:rPr>
          <w:lang w:val="en"/>
        </w:rPr>
        <w:t xml:space="preserve"> </w:t>
      </w:r>
      <w:r w:rsidR="00F77B0E">
        <w:rPr>
          <w:lang w:val="en"/>
        </w:rPr>
        <w:t>perspective</w:t>
      </w:r>
      <w:r w:rsidR="007305EF" w:rsidRPr="007305EF">
        <w:rPr>
          <w:lang w:val="en"/>
        </w:rPr>
        <w:t xml:space="preserve"> can enable </w:t>
      </w:r>
      <w:r>
        <w:rPr>
          <w:lang w:val="en"/>
        </w:rPr>
        <w:t xml:space="preserve">library </w:t>
      </w:r>
      <w:r w:rsidR="005C6C0A">
        <w:rPr>
          <w:lang w:val="en"/>
        </w:rPr>
        <w:t>practitioner</w:t>
      </w:r>
      <w:r w:rsidR="007305EF" w:rsidRPr="007305EF">
        <w:rPr>
          <w:lang w:val="en"/>
        </w:rPr>
        <w:t xml:space="preserve">s to </w:t>
      </w:r>
      <w:r w:rsidR="00AF2C78" w:rsidRPr="007305EF">
        <w:rPr>
          <w:lang w:val="en"/>
        </w:rPr>
        <w:t>evaluate their human, st</w:t>
      </w:r>
      <w:r w:rsidR="00AF2C78">
        <w:rPr>
          <w:lang w:val="en"/>
        </w:rPr>
        <w:t xml:space="preserve">ructural, and relational assets, and </w:t>
      </w:r>
      <w:r w:rsidR="007305EF" w:rsidRPr="007305EF">
        <w:rPr>
          <w:lang w:val="en"/>
        </w:rPr>
        <w:t xml:space="preserve">recognize their </w:t>
      </w:r>
      <w:r w:rsidR="00F77B0E">
        <w:rPr>
          <w:lang w:val="en"/>
        </w:rPr>
        <w:t xml:space="preserve">IAs </w:t>
      </w:r>
      <w:r w:rsidR="007305EF" w:rsidRPr="007305EF">
        <w:rPr>
          <w:lang w:val="en"/>
        </w:rPr>
        <w:t xml:space="preserve">as distinctive competencies with current relevance and enduring value. </w:t>
      </w:r>
      <w:r w:rsidR="00790958">
        <w:rPr>
          <w:lang w:val="en"/>
        </w:rPr>
        <w:t xml:space="preserve">The RBV </w:t>
      </w:r>
      <w:r w:rsidR="00D17E05">
        <w:rPr>
          <w:lang w:val="en"/>
        </w:rPr>
        <w:t xml:space="preserve">enables us to understand more fully how </w:t>
      </w:r>
      <w:r w:rsidR="005A54E7">
        <w:rPr>
          <w:lang w:val="en"/>
        </w:rPr>
        <w:t>particular</w:t>
      </w:r>
      <w:r w:rsidR="00D17E05">
        <w:rPr>
          <w:lang w:val="en"/>
        </w:rPr>
        <w:t xml:space="preserve"> combinations of </w:t>
      </w:r>
      <w:r w:rsidR="005A54E7">
        <w:rPr>
          <w:lang w:val="en"/>
        </w:rPr>
        <w:t>diverse</w:t>
      </w:r>
      <w:r w:rsidR="00452F47">
        <w:rPr>
          <w:lang w:val="en"/>
        </w:rPr>
        <w:t xml:space="preserve"> </w:t>
      </w:r>
      <w:r w:rsidR="00D17E05">
        <w:rPr>
          <w:lang w:val="en"/>
        </w:rPr>
        <w:t>assets</w:t>
      </w:r>
      <w:r w:rsidR="0054412F">
        <w:rPr>
          <w:lang w:val="en"/>
        </w:rPr>
        <w:t xml:space="preserve"> enable libraries to create </w:t>
      </w:r>
      <w:r w:rsidR="005A54E7">
        <w:rPr>
          <w:lang w:val="en"/>
        </w:rPr>
        <w:t>dynamic</w:t>
      </w:r>
      <w:r w:rsidR="0054412F">
        <w:rPr>
          <w:lang w:val="en"/>
        </w:rPr>
        <w:t xml:space="preserve"> </w:t>
      </w:r>
      <w:r w:rsidR="00247B99">
        <w:rPr>
          <w:lang w:val="en"/>
        </w:rPr>
        <w:t xml:space="preserve">knowledge resources and </w:t>
      </w:r>
      <w:r w:rsidR="007B37C9">
        <w:rPr>
          <w:lang w:val="en"/>
        </w:rPr>
        <w:t xml:space="preserve">create value </w:t>
      </w:r>
      <w:r w:rsidR="002E7B7C">
        <w:rPr>
          <w:lang w:val="en"/>
        </w:rPr>
        <w:t xml:space="preserve">for </w:t>
      </w:r>
      <w:r w:rsidR="005C4790">
        <w:rPr>
          <w:lang w:val="en"/>
        </w:rPr>
        <w:t xml:space="preserve">their </w:t>
      </w:r>
      <w:r w:rsidR="002E7B7C">
        <w:rPr>
          <w:lang w:val="en"/>
        </w:rPr>
        <w:t>members and stakeholders</w:t>
      </w:r>
      <w:r w:rsidR="005C4790">
        <w:rPr>
          <w:lang w:val="en"/>
        </w:rPr>
        <w:t>.</w:t>
      </w:r>
      <w:r w:rsidR="00AF2C78">
        <w:rPr>
          <w:lang w:val="en"/>
        </w:rPr>
        <w:t xml:space="preserve"> </w:t>
      </w:r>
      <w:r w:rsidR="007305EF" w:rsidRPr="007305EF">
        <w:rPr>
          <w:lang w:val="en"/>
        </w:rPr>
        <w:t>Future research could explore and test the applicability of additional evaluation frameworks, including public sector models of social capital</w:t>
      </w:r>
      <w:r w:rsidR="00790958">
        <w:rPr>
          <w:lang w:val="en"/>
        </w:rPr>
        <w:t>.</w:t>
      </w:r>
    </w:p>
    <w:p w14:paraId="763DC5E5" w14:textId="77777777" w:rsidR="006D0BDE" w:rsidRPr="00904B2C" w:rsidRDefault="006D0BDE" w:rsidP="00A36831">
      <w:pPr>
        <w:widowControl w:val="0"/>
        <w:autoSpaceDE w:val="0"/>
        <w:autoSpaceDN w:val="0"/>
        <w:adjustRightInd w:val="0"/>
        <w:spacing w:before="40"/>
        <w:ind w:firstLine="0"/>
        <w:jc w:val="center"/>
        <w:rPr>
          <w:color w:val="000000"/>
        </w:rPr>
      </w:pPr>
    </w:p>
    <w:p w14:paraId="49D3774F" w14:textId="48481193" w:rsidR="000D66FF" w:rsidRPr="00F36F9C" w:rsidRDefault="00DC0D5F" w:rsidP="00F36F9C">
      <w:pPr>
        <w:spacing w:after="160" w:line="259" w:lineRule="auto"/>
        <w:ind w:firstLine="0"/>
        <w:jc w:val="left"/>
        <w:rPr>
          <w:b/>
        </w:rPr>
      </w:pPr>
      <w:r w:rsidRPr="00F36F9C">
        <w:rPr>
          <w:rFonts w:ascii="Arial" w:hAnsi="Arial" w:cs="Arial"/>
          <w:b/>
        </w:rPr>
        <w:t>REFERENCES</w:t>
      </w:r>
    </w:p>
    <w:p w14:paraId="01CEBF87" w14:textId="33FF0C9D" w:rsidR="00597EF8" w:rsidRDefault="005233C6" w:rsidP="0021328A">
      <w:pPr>
        <w:widowControl w:val="0"/>
        <w:autoSpaceDE w:val="0"/>
        <w:autoSpaceDN w:val="0"/>
        <w:adjustRightInd w:val="0"/>
        <w:ind w:left="144" w:hanging="144"/>
        <w:rPr>
          <w:sz w:val="18"/>
          <w:szCs w:val="18"/>
        </w:rPr>
      </w:pPr>
      <w:proofErr w:type="spellStart"/>
      <w:r w:rsidRPr="00065F9B">
        <w:rPr>
          <w:sz w:val="18"/>
          <w:szCs w:val="18"/>
        </w:rPr>
        <w:t>Asonitis</w:t>
      </w:r>
      <w:proofErr w:type="spellEnd"/>
      <w:r w:rsidRPr="00065F9B">
        <w:rPr>
          <w:sz w:val="18"/>
          <w:szCs w:val="18"/>
        </w:rPr>
        <w:t xml:space="preserve">, S., &amp; </w:t>
      </w:r>
      <w:proofErr w:type="spellStart"/>
      <w:r w:rsidRPr="00065F9B">
        <w:rPr>
          <w:sz w:val="18"/>
          <w:szCs w:val="18"/>
        </w:rPr>
        <w:t>Kostagiolas</w:t>
      </w:r>
      <w:proofErr w:type="spellEnd"/>
      <w:r w:rsidRPr="00065F9B">
        <w:rPr>
          <w:sz w:val="18"/>
          <w:szCs w:val="18"/>
        </w:rPr>
        <w:t xml:space="preserve">, P. (2010). An analytic hierarchy approach for intellectual capital: Evidence for the Greek central public libraries. </w:t>
      </w:r>
      <w:r w:rsidRPr="00065F9B">
        <w:rPr>
          <w:i/>
          <w:sz w:val="18"/>
          <w:szCs w:val="18"/>
        </w:rPr>
        <w:t>Library Management, 31</w:t>
      </w:r>
      <w:r w:rsidRPr="00065F9B">
        <w:rPr>
          <w:sz w:val="18"/>
          <w:szCs w:val="18"/>
        </w:rPr>
        <w:t xml:space="preserve">(3), 145-161. </w:t>
      </w:r>
      <w:proofErr w:type="spellStart"/>
      <w:r w:rsidRPr="00065F9B">
        <w:rPr>
          <w:sz w:val="18"/>
          <w:szCs w:val="18"/>
        </w:rPr>
        <w:t>doi</w:t>
      </w:r>
      <w:proofErr w:type="spellEnd"/>
      <w:r w:rsidRPr="00065F9B">
        <w:rPr>
          <w:sz w:val="18"/>
          <w:szCs w:val="18"/>
        </w:rPr>
        <w:t>: 10.1108/0143512101102732</w:t>
      </w:r>
      <w:r w:rsidR="004113D8">
        <w:rPr>
          <w:sz w:val="18"/>
          <w:szCs w:val="18"/>
        </w:rPr>
        <w:t>.</w:t>
      </w:r>
    </w:p>
    <w:p w14:paraId="2670182F" w14:textId="361C96B7" w:rsidR="005233C6" w:rsidRPr="00096F43" w:rsidRDefault="005233C6" w:rsidP="0021328A">
      <w:pPr>
        <w:autoSpaceDE w:val="0"/>
        <w:autoSpaceDN w:val="0"/>
        <w:adjustRightInd w:val="0"/>
        <w:ind w:left="144" w:hanging="144"/>
        <w:rPr>
          <w:sz w:val="18"/>
          <w:szCs w:val="18"/>
          <w:lang w:bidi="th-TH"/>
        </w:rPr>
      </w:pPr>
      <w:r w:rsidRPr="00096F43">
        <w:rPr>
          <w:sz w:val="18"/>
          <w:szCs w:val="18"/>
          <w:lang w:bidi="th-TH"/>
        </w:rPr>
        <w:t xml:space="preserve">Barney, J. (1991). Firm resources and sustained competitive advantage. </w:t>
      </w:r>
      <w:r w:rsidRPr="00096F43">
        <w:rPr>
          <w:i/>
          <w:iCs/>
          <w:sz w:val="18"/>
          <w:szCs w:val="18"/>
          <w:lang w:bidi="th-TH"/>
        </w:rPr>
        <w:t xml:space="preserve">Journal of Management, </w:t>
      </w:r>
      <w:r w:rsidRPr="00096F43">
        <w:rPr>
          <w:bCs/>
          <w:i/>
          <w:sz w:val="18"/>
          <w:szCs w:val="18"/>
          <w:lang w:bidi="th-TH"/>
        </w:rPr>
        <w:t>17</w:t>
      </w:r>
      <w:r w:rsidRPr="00096F43">
        <w:rPr>
          <w:sz w:val="18"/>
          <w:szCs w:val="18"/>
          <w:lang w:bidi="th-TH"/>
        </w:rPr>
        <w:t xml:space="preserve">(1), 99-120. </w:t>
      </w:r>
      <w:proofErr w:type="spellStart"/>
      <w:r w:rsidRPr="002A1144">
        <w:rPr>
          <w:sz w:val="18"/>
          <w:szCs w:val="18"/>
          <w:lang w:bidi="th-TH"/>
        </w:rPr>
        <w:t>doi</w:t>
      </w:r>
      <w:proofErr w:type="spellEnd"/>
      <w:r w:rsidRPr="002A1144">
        <w:rPr>
          <w:sz w:val="18"/>
          <w:szCs w:val="18"/>
          <w:lang w:bidi="th-TH"/>
        </w:rPr>
        <w:t>:</w:t>
      </w:r>
      <w:r>
        <w:rPr>
          <w:sz w:val="18"/>
          <w:szCs w:val="18"/>
          <w:lang w:bidi="th-TH"/>
        </w:rPr>
        <w:t xml:space="preserve"> </w:t>
      </w:r>
      <w:r w:rsidRPr="002A1144">
        <w:rPr>
          <w:sz w:val="18"/>
          <w:szCs w:val="18"/>
          <w:lang w:bidi="th-TH"/>
        </w:rPr>
        <w:t>10.1177/014920639101700108</w:t>
      </w:r>
      <w:r>
        <w:rPr>
          <w:sz w:val="18"/>
          <w:szCs w:val="18"/>
          <w:lang w:bidi="th-TH"/>
        </w:rPr>
        <w:t>.</w:t>
      </w:r>
    </w:p>
    <w:p w14:paraId="355C8550" w14:textId="77777777" w:rsidR="005233C6" w:rsidRPr="005A2494" w:rsidRDefault="005233C6" w:rsidP="0021328A">
      <w:pPr>
        <w:widowControl w:val="0"/>
        <w:autoSpaceDE w:val="0"/>
        <w:autoSpaceDN w:val="0"/>
        <w:adjustRightInd w:val="0"/>
        <w:ind w:left="144" w:hanging="144"/>
        <w:rPr>
          <w:sz w:val="18"/>
          <w:szCs w:val="18"/>
        </w:rPr>
      </w:pPr>
      <w:r w:rsidRPr="005A2494">
        <w:rPr>
          <w:sz w:val="18"/>
          <w:szCs w:val="18"/>
        </w:rPr>
        <w:t xml:space="preserve">Barney, J. B., &amp; Clark, D. N. (2007). </w:t>
      </w:r>
      <w:r w:rsidRPr="005A2494">
        <w:rPr>
          <w:i/>
          <w:sz w:val="18"/>
          <w:szCs w:val="18"/>
        </w:rPr>
        <w:t xml:space="preserve">Resource-based theory: Creating and sustaining competitive advantage. </w:t>
      </w:r>
      <w:r w:rsidRPr="005A2494">
        <w:rPr>
          <w:sz w:val="18"/>
          <w:szCs w:val="18"/>
        </w:rPr>
        <w:t>Oxford: Oxford University Press.</w:t>
      </w:r>
    </w:p>
    <w:p w14:paraId="3973176B" w14:textId="77777777" w:rsidR="005233C6" w:rsidRPr="00065F9B" w:rsidRDefault="005233C6" w:rsidP="0021328A">
      <w:pPr>
        <w:widowControl w:val="0"/>
        <w:autoSpaceDE w:val="0"/>
        <w:autoSpaceDN w:val="0"/>
        <w:adjustRightInd w:val="0"/>
        <w:ind w:left="144" w:hanging="144"/>
        <w:rPr>
          <w:sz w:val="18"/>
          <w:szCs w:val="18"/>
        </w:rPr>
      </w:pPr>
      <w:r w:rsidRPr="00065F9B">
        <w:rPr>
          <w:sz w:val="18"/>
          <w:szCs w:val="18"/>
        </w:rPr>
        <w:t xml:space="preserve">Barron, D. D. (1995). Staffing public libraries: The need to invest in intellectual capital. </w:t>
      </w:r>
      <w:r w:rsidRPr="00065F9B">
        <w:rPr>
          <w:i/>
          <w:sz w:val="18"/>
          <w:szCs w:val="18"/>
        </w:rPr>
        <w:t>Library Trends, 44</w:t>
      </w:r>
      <w:r w:rsidRPr="00065F9B">
        <w:rPr>
          <w:sz w:val="18"/>
          <w:szCs w:val="18"/>
        </w:rPr>
        <w:t xml:space="preserve">(1), 77-87. Retrieved May 25, 2014, from </w:t>
      </w:r>
      <w:hyperlink r:id="rId15" w:history="1">
        <w:r w:rsidRPr="00065F9B">
          <w:rPr>
            <w:rStyle w:val="Hyperlink"/>
            <w:sz w:val="18"/>
            <w:szCs w:val="18"/>
          </w:rPr>
          <w:t>https://ideals.illinois.edu/handle/2142/8002</w:t>
        </w:r>
      </w:hyperlink>
      <w:r w:rsidRPr="00065F9B">
        <w:rPr>
          <w:sz w:val="18"/>
          <w:szCs w:val="18"/>
        </w:rPr>
        <w:t>.</w:t>
      </w:r>
    </w:p>
    <w:p w14:paraId="6E334B63" w14:textId="77777777" w:rsidR="002F2CD9" w:rsidRPr="004142B9" w:rsidRDefault="002F2CD9" w:rsidP="0021328A">
      <w:pPr>
        <w:widowControl w:val="0"/>
        <w:autoSpaceDE w:val="0"/>
        <w:autoSpaceDN w:val="0"/>
        <w:adjustRightInd w:val="0"/>
        <w:ind w:left="144" w:hanging="144"/>
        <w:rPr>
          <w:sz w:val="18"/>
          <w:szCs w:val="18"/>
        </w:rPr>
      </w:pPr>
      <w:proofErr w:type="spellStart"/>
      <w:r w:rsidRPr="004142B9">
        <w:rPr>
          <w:sz w:val="18"/>
          <w:szCs w:val="18"/>
        </w:rPr>
        <w:t>Bracke</w:t>
      </w:r>
      <w:proofErr w:type="spellEnd"/>
      <w:r w:rsidRPr="004142B9">
        <w:rPr>
          <w:sz w:val="18"/>
          <w:szCs w:val="18"/>
        </w:rPr>
        <w:t xml:space="preserve">, M. S. (2011). Emerging data curation roles for librarians: A case study of agricultural data. </w:t>
      </w:r>
      <w:r w:rsidRPr="004142B9">
        <w:rPr>
          <w:i/>
          <w:sz w:val="18"/>
          <w:szCs w:val="18"/>
        </w:rPr>
        <w:t>Journal of Agricultural &amp; Food Information, 12</w:t>
      </w:r>
      <w:r w:rsidRPr="004142B9">
        <w:rPr>
          <w:sz w:val="18"/>
          <w:szCs w:val="18"/>
        </w:rPr>
        <w:t xml:space="preserve">(1), 65-74. </w:t>
      </w:r>
      <w:proofErr w:type="spellStart"/>
      <w:r w:rsidRPr="004142B9">
        <w:rPr>
          <w:sz w:val="18"/>
          <w:szCs w:val="18"/>
        </w:rPr>
        <w:t>doi</w:t>
      </w:r>
      <w:proofErr w:type="spellEnd"/>
      <w:r w:rsidRPr="004142B9">
        <w:rPr>
          <w:sz w:val="18"/>
          <w:szCs w:val="18"/>
        </w:rPr>
        <w:t>: 10.1080/10496505.2011.539158.</w:t>
      </w:r>
    </w:p>
    <w:p w14:paraId="61AB7BD2" w14:textId="77777777" w:rsidR="005233C6" w:rsidRPr="00065F9B" w:rsidRDefault="005233C6" w:rsidP="0021328A">
      <w:pPr>
        <w:ind w:left="144" w:hanging="144"/>
        <w:rPr>
          <w:sz w:val="18"/>
          <w:szCs w:val="18"/>
        </w:rPr>
      </w:pPr>
      <w:r w:rsidRPr="00065F9B">
        <w:rPr>
          <w:sz w:val="18"/>
          <w:szCs w:val="18"/>
        </w:rPr>
        <w:t xml:space="preserve">Brooking, A. (1996). </w:t>
      </w:r>
      <w:r w:rsidRPr="00065F9B">
        <w:rPr>
          <w:i/>
          <w:sz w:val="18"/>
          <w:szCs w:val="18"/>
        </w:rPr>
        <w:t xml:space="preserve">Intellectual capital: Core asset for the third </w:t>
      </w:r>
      <w:proofErr w:type="spellStart"/>
      <w:r w:rsidRPr="00065F9B">
        <w:rPr>
          <w:i/>
          <w:sz w:val="18"/>
          <w:szCs w:val="18"/>
        </w:rPr>
        <w:t>millenium</w:t>
      </w:r>
      <w:proofErr w:type="spellEnd"/>
      <w:r w:rsidRPr="00065F9B">
        <w:rPr>
          <w:i/>
          <w:sz w:val="18"/>
          <w:szCs w:val="18"/>
        </w:rPr>
        <w:t xml:space="preserve">. </w:t>
      </w:r>
      <w:r w:rsidRPr="00065F9B">
        <w:rPr>
          <w:sz w:val="18"/>
          <w:szCs w:val="18"/>
        </w:rPr>
        <w:t>London: Thomson International Business Press.</w:t>
      </w:r>
    </w:p>
    <w:p w14:paraId="0ABA2147" w14:textId="77777777" w:rsidR="005233C6" w:rsidRPr="00065F9B" w:rsidRDefault="005233C6" w:rsidP="0021328A">
      <w:pPr>
        <w:ind w:left="144" w:hanging="144"/>
        <w:rPr>
          <w:iCs/>
          <w:sz w:val="18"/>
          <w:szCs w:val="18"/>
        </w:rPr>
      </w:pPr>
      <w:proofErr w:type="spellStart"/>
      <w:r w:rsidRPr="00065F9B">
        <w:rPr>
          <w:sz w:val="18"/>
          <w:szCs w:val="18"/>
        </w:rPr>
        <w:t>Brophy</w:t>
      </w:r>
      <w:proofErr w:type="spellEnd"/>
      <w:r w:rsidRPr="00065F9B">
        <w:rPr>
          <w:sz w:val="18"/>
          <w:szCs w:val="18"/>
        </w:rPr>
        <w:t xml:space="preserve">, P. (2007). </w:t>
      </w:r>
      <w:r w:rsidRPr="00065F9B">
        <w:rPr>
          <w:bCs/>
          <w:iCs/>
          <w:sz w:val="18"/>
          <w:szCs w:val="18"/>
        </w:rPr>
        <w:t xml:space="preserve">Narrative based practice. </w:t>
      </w:r>
      <w:r w:rsidRPr="00065F9B">
        <w:rPr>
          <w:i/>
          <w:iCs/>
          <w:sz w:val="18"/>
          <w:szCs w:val="18"/>
        </w:rPr>
        <w:t>Evidence Based Library and Information Practice, 2</w:t>
      </w:r>
      <w:r w:rsidRPr="00065F9B">
        <w:rPr>
          <w:iCs/>
          <w:sz w:val="18"/>
          <w:szCs w:val="18"/>
        </w:rPr>
        <w:t xml:space="preserve">(1), 149-158. Retrieved May 25, 2014, from </w:t>
      </w:r>
      <w:hyperlink r:id="rId16" w:history="1">
        <w:r w:rsidRPr="00065F9B">
          <w:rPr>
            <w:rStyle w:val="Hyperlink"/>
            <w:iCs/>
            <w:sz w:val="18"/>
            <w:szCs w:val="18"/>
          </w:rPr>
          <w:t>https://ejournals.library.ualberta.ca/index.php/EBLIP/article/view/137/248</w:t>
        </w:r>
      </w:hyperlink>
      <w:r w:rsidRPr="00065F9B">
        <w:rPr>
          <w:iCs/>
          <w:sz w:val="18"/>
          <w:szCs w:val="18"/>
        </w:rPr>
        <w:t>.</w:t>
      </w:r>
    </w:p>
    <w:p w14:paraId="219B492E" w14:textId="77777777" w:rsidR="005233C6" w:rsidRPr="00065F9B" w:rsidRDefault="005233C6" w:rsidP="0021328A">
      <w:pPr>
        <w:widowControl w:val="0"/>
        <w:autoSpaceDE w:val="0"/>
        <w:autoSpaceDN w:val="0"/>
        <w:adjustRightInd w:val="0"/>
        <w:ind w:left="144" w:hanging="144"/>
        <w:rPr>
          <w:sz w:val="18"/>
          <w:szCs w:val="18"/>
        </w:rPr>
      </w:pPr>
      <w:proofErr w:type="spellStart"/>
      <w:r w:rsidRPr="00065F9B">
        <w:rPr>
          <w:iCs/>
          <w:sz w:val="18"/>
          <w:szCs w:val="18"/>
        </w:rPr>
        <w:t>Brophy</w:t>
      </w:r>
      <w:proofErr w:type="spellEnd"/>
      <w:r w:rsidRPr="00065F9B">
        <w:rPr>
          <w:iCs/>
          <w:sz w:val="18"/>
          <w:szCs w:val="18"/>
        </w:rPr>
        <w:t xml:space="preserve">, P. (2008). </w:t>
      </w:r>
      <w:r w:rsidRPr="00065F9B">
        <w:rPr>
          <w:sz w:val="18"/>
          <w:szCs w:val="18"/>
        </w:rPr>
        <w:t>Telling the story: Qualitative approaches to measuring the performance of emerging library services</w:t>
      </w:r>
      <w:r w:rsidRPr="00065F9B">
        <w:rPr>
          <w:iCs/>
          <w:sz w:val="18"/>
          <w:szCs w:val="18"/>
        </w:rPr>
        <w:t xml:space="preserve"> </w:t>
      </w:r>
      <w:r w:rsidRPr="00065F9B">
        <w:rPr>
          <w:i/>
          <w:sz w:val="18"/>
          <w:szCs w:val="18"/>
        </w:rPr>
        <w:t>Performance Measurement and Metrics, 9</w:t>
      </w:r>
      <w:r w:rsidRPr="00065F9B">
        <w:rPr>
          <w:sz w:val="18"/>
          <w:szCs w:val="18"/>
        </w:rPr>
        <w:t xml:space="preserve">(1), 7-17. </w:t>
      </w:r>
      <w:proofErr w:type="spellStart"/>
      <w:r w:rsidRPr="00065F9B">
        <w:rPr>
          <w:sz w:val="18"/>
          <w:szCs w:val="18"/>
        </w:rPr>
        <w:t>doi</w:t>
      </w:r>
      <w:proofErr w:type="spellEnd"/>
      <w:r w:rsidRPr="00065F9B">
        <w:rPr>
          <w:sz w:val="18"/>
          <w:szCs w:val="18"/>
        </w:rPr>
        <w:t>: 10.1108/14678040810869387</w:t>
      </w:r>
      <w:r>
        <w:rPr>
          <w:sz w:val="18"/>
          <w:szCs w:val="18"/>
        </w:rPr>
        <w:t>.</w:t>
      </w:r>
    </w:p>
    <w:p w14:paraId="5DC6703B" w14:textId="77777777" w:rsidR="005233C6" w:rsidRPr="00665EA3" w:rsidRDefault="005233C6" w:rsidP="0021328A">
      <w:pPr>
        <w:ind w:left="144" w:hanging="144"/>
        <w:rPr>
          <w:color w:val="1A1A1A"/>
          <w:sz w:val="18"/>
          <w:szCs w:val="18"/>
        </w:rPr>
      </w:pPr>
      <w:proofErr w:type="spellStart"/>
      <w:r w:rsidRPr="00665EA3">
        <w:rPr>
          <w:sz w:val="18"/>
          <w:szCs w:val="18"/>
        </w:rPr>
        <w:t>Bueno</w:t>
      </w:r>
      <w:proofErr w:type="spellEnd"/>
      <w:r w:rsidRPr="00665EA3">
        <w:rPr>
          <w:sz w:val="18"/>
          <w:szCs w:val="18"/>
        </w:rPr>
        <w:t xml:space="preserve">, E., </w:t>
      </w:r>
      <w:proofErr w:type="spellStart"/>
      <w:r w:rsidRPr="00665EA3">
        <w:rPr>
          <w:sz w:val="18"/>
          <w:szCs w:val="18"/>
        </w:rPr>
        <w:t>Salmador</w:t>
      </w:r>
      <w:proofErr w:type="spellEnd"/>
      <w:r w:rsidRPr="00665EA3">
        <w:rPr>
          <w:sz w:val="18"/>
          <w:szCs w:val="18"/>
        </w:rPr>
        <w:t xml:space="preserve">, M. P., &amp; Rodríguez, O. (2004). The role of social capital in today's economy: Empirical evidence and proposal of a new model of intellectual capital. </w:t>
      </w:r>
      <w:r w:rsidRPr="00665EA3">
        <w:rPr>
          <w:i/>
          <w:sz w:val="18"/>
          <w:szCs w:val="18"/>
        </w:rPr>
        <w:t>Journal of Intellectual Capital, 5</w:t>
      </w:r>
      <w:r w:rsidRPr="00665EA3">
        <w:rPr>
          <w:sz w:val="18"/>
          <w:szCs w:val="18"/>
        </w:rPr>
        <w:t xml:space="preserve">(4), 556-574. </w:t>
      </w:r>
      <w:proofErr w:type="spellStart"/>
      <w:r w:rsidRPr="00665EA3">
        <w:rPr>
          <w:sz w:val="18"/>
          <w:szCs w:val="18"/>
        </w:rPr>
        <w:t>doi</w:t>
      </w:r>
      <w:proofErr w:type="spellEnd"/>
      <w:r w:rsidRPr="00665EA3">
        <w:rPr>
          <w:sz w:val="18"/>
          <w:szCs w:val="18"/>
        </w:rPr>
        <w:t xml:space="preserve">: </w:t>
      </w:r>
      <w:hyperlink r:id="rId17" w:history="1">
        <w:r w:rsidRPr="00665EA3">
          <w:rPr>
            <w:sz w:val="18"/>
            <w:szCs w:val="18"/>
          </w:rPr>
          <w:t>10.1108/14691930410567013</w:t>
        </w:r>
      </w:hyperlink>
      <w:r>
        <w:rPr>
          <w:sz w:val="18"/>
          <w:szCs w:val="18"/>
        </w:rPr>
        <w:t>.</w:t>
      </w:r>
    </w:p>
    <w:p w14:paraId="5D2F5B6B" w14:textId="77777777" w:rsidR="005233C6" w:rsidRDefault="005233C6" w:rsidP="0021328A">
      <w:pPr>
        <w:ind w:left="144" w:hanging="144"/>
        <w:rPr>
          <w:sz w:val="18"/>
          <w:szCs w:val="18"/>
        </w:rPr>
      </w:pPr>
      <w:r w:rsidRPr="00065F9B">
        <w:rPr>
          <w:sz w:val="18"/>
          <w:szCs w:val="18"/>
        </w:rPr>
        <w:t xml:space="preserve">Carlson, S. (2007, August 17). An anthropologist in the library. </w:t>
      </w:r>
      <w:r w:rsidRPr="00065F9B">
        <w:rPr>
          <w:i/>
          <w:sz w:val="18"/>
          <w:szCs w:val="18"/>
        </w:rPr>
        <w:t xml:space="preserve">The Chronicle of Higher Education, </w:t>
      </w:r>
      <w:r w:rsidRPr="00065F9B">
        <w:rPr>
          <w:sz w:val="18"/>
          <w:szCs w:val="18"/>
        </w:rPr>
        <w:t xml:space="preserve"> </w:t>
      </w:r>
      <w:r w:rsidRPr="00065F9B">
        <w:rPr>
          <w:i/>
          <w:sz w:val="18"/>
          <w:szCs w:val="18"/>
        </w:rPr>
        <w:t>53</w:t>
      </w:r>
      <w:r w:rsidRPr="00065F9B">
        <w:rPr>
          <w:sz w:val="18"/>
          <w:szCs w:val="18"/>
        </w:rPr>
        <w:t xml:space="preserve">(50), A26. Retrieved May 25, 2014, from </w:t>
      </w:r>
      <w:hyperlink r:id="rId18" w:history="1">
        <w:r w:rsidRPr="00065F9B">
          <w:rPr>
            <w:rStyle w:val="Hyperlink"/>
            <w:sz w:val="18"/>
            <w:szCs w:val="18"/>
          </w:rPr>
          <w:t>http://chronicle.com/article/An-Anthropologist-in-the/22071</w:t>
        </w:r>
      </w:hyperlink>
      <w:r>
        <w:rPr>
          <w:sz w:val="18"/>
          <w:szCs w:val="18"/>
        </w:rPr>
        <w:t>.</w:t>
      </w:r>
    </w:p>
    <w:p w14:paraId="7CD2F6BA" w14:textId="77777777" w:rsidR="005233C6" w:rsidRPr="00065F9B" w:rsidRDefault="005233C6" w:rsidP="0021328A">
      <w:pPr>
        <w:widowControl w:val="0"/>
        <w:autoSpaceDE w:val="0"/>
        <w:autoSpaceDN w:val="0"/>
        <w:adjustRightInd w:val="0"/>
        <w:ind w:left="144" w:hanging="144"/>
        <w:rPr>
          <w:rStyle w:val="Hyperlink"/>
          <w:sz w:val="18"/>
          <w:szCs w:val="18"/>
        </w:rPr>
      </w:pPr>
      <w:r w:rsidRPr="00065F9B">
        <w:rPr>
          <w:sz w:val="18"/>
          <w:szCs w:val="18"/>
        </w:rPr>
        <w:t xml:space="preserve">Carlson, J., &amp; </w:t>
      </w:r>
      <w:proofErr w:type="spellStart"/>
      <w:r w:rsidRPr="00065F9B">
        <w:rPr>
          <w:sz w:val="18"/>
          <w:szCs w:val="18"/>
        </w:rPr>
        <w:t>Kneale</w:t>
      </w:r>
      <w:proofErr w:type="spellEnd"/>
      <w:r w:rsidRPr="00065F9B">
        <w:rPr>
          <w:sz w:val="18"/>
          <w:szCs w:val="18"/>
        </w:rPr>
        <w:t xml:space="preserve">, R. (2011). </w:t>
      </w:r>
      <w:r w:rsidRPr="00065F9B">
        <w:rPr>
          <w:bCs/>
          <w:color w:val="302B2B"/>
          <w:sz w:val="18"/>
          <w:szCs w:val="18"/>
        </w:rPr>
        <w:t xml:space="preserve">Embedded librarianship in the research context: Navigating new waters. </w:t>
      </w:r>
      <w:r w:rsidRPr="00065F9B">
        <w:rPr>
          <w:i/>
          <w:sz w:val="18"/>
          <w:szCs w:val="18"/>
        </w:rPr>
        <w:t>College &amp; Research Libraries News, 72</w:t>
      </w:r>
      <w:r w:rsidRPr="00065F9B">
        <w:rPr>
          <w:sz w:val="18"/>
          <w:szCs w:val="18"/>
        </w:rPr>
        <w:t>(3)</w:t>
      </w:r>
      <w:r w:rsidRPr="00065F9B">
        <w:rPr>
          <w:i/>
          <w:sz w:val="18"/>
          <w:szCs w:val="18"/>
        </w:rPr>
        <w:t xml:space="preserve">, </w:t>
      </w:r>
      <w:r w:rsidRPr="00065F9B">
        <w:rPr>
          <w:sz w:val="18"/>
          <w:szCs w:val="18"/>
        </w:rPr>
        <w:t>167-170.</w:t>
      </w:r>
      <w:r w:rsidRPr="00065F9B">
        <w:rPr>
          <w:i/>
          <w:sz w:val="18"/>
          <w:szCs w:val="18"/>
        </w:rPr>
        <w:t xml:space="preserve"> </w:t>
      </w:r>
      <w:r w:rsidRPr="00065F9B">
        <w:rPr>
          <w:sz w:val="18"/>
          <w:szCs w:val="18"/>
        </w:rPr>
        <w:t xml:space="preserve">Retrieved May 25, 2014, from </w:t>
      </w:r>
      <w:hyperlink r:id="rId19" w:history="1">
        <w:r w:rsidRPr="00065F9B">
          <w:rPr>
            <w:rStyle w:val="Hyperlink"/>
            <w:sz w:val="18"/>
            <w:szCs w:val="18"/>
          </w:rPr>
          <w:t>http://crln.acrl.org/content/72/3/167.full</w:t>
        </w:r>
      </w:hyperlink>
      <w:r w:rsidRPr="00065F9B">
        <w:rPr>
          <w:rStyle w:val="Hyperlink"/>
          <w:sz w:val="18"/>
          <w:szCs w:val="18"/>
        </w:rPr>
        <w:t>.</w:t>
      </w:r>
    </w:p>
    <w:p w14:paraId="44503C20" w14:textId="77777777" w:rsidR="005233C6" w:rsidRPr="00065F9B" w:rsidRDefault="005233C6" w:rsidP="0021328A">
      <w:pPr>
        <w:ind w:left="144" w:hanging="144"/>
        <w:rPr>
          <w:sz w:val="18"/>
          <w:szCs w:val="18"/>
        </w:rPr>
      </w:pPr>
      <w:r w:rsidRPr="00065F9B">
        <w:rPr>
          <w:sz w:val="18"/>
          <w:szCs w:val="18"/>
        </w:rPr>
        <w:t xml:space="preserve">Chew, K., &amp; </w:t>
      </w:r>
      <w:proofErr w:type="spellStart"/>
      <w:r w:rsidRPr="00065F9B">
        <w:rPr>
          <w:sz w:val="18"/>
          <w:szCs w:val="18"/>
        </w:rPr>
        <w:t>Aspinall</w:t>
      </w:r>
      <w:proofErr w:type="spellEnd"/>
      <w:r w:rsidRPr="00065F9B">
        <w:rPr>
          <w:sz w:val="18"/>
          <w:szCs w:val="18"/>
        </w:rPr>
        <w:t xml:space="preserve">, E. (2011). Serving multiple stakeholders: crafting a “blended” scorecard at the University of Minnesota Health Sciences Libraries. In S. Hiller, K. </w:t>
      </w:r>
      <w:proofErr w:type="spellStart"/>
      <w:r w:rsidRPr="00065F9B">
        <w:rPr>
          <w:sz w:val="18"/>
          <w:szCs w:val="18"/>
        </w:rPr>
        <w:t>Justh</w:t>
      </w:r>
      <w:proofErr w:type="spellEnd"/>
      <w:r w:rsidRPr="00065F9B">
        <w:rPr>
          <w:sz w:val="18"/>
          <w:szCs w:val="18"/>
        </w:rPr>
        <w:t xml:space="preserve">, M. </w:t>
      </w:r>
      <w:proofErr w:type="spellStart"/>
      <w:r w:rsidRPr="00065F9B">
        <w:rPr>
          <w:sz w:val="18"/>
          <w:szCs w:val="18"/>
        </w:rPr>
        <w:t>Kyrillidou</w:t>
      </w:r>
      <w:proofErr w:type="spellEnd"/>
      <w:r w:rsidRPr="00065F9B">
        <w:rPr>
          <w:sz w:val="18"/>
          <w:szCs w:val="18"/>
        </w:rPr>
        <w:t xml:space="preserve"> &amp; J. Self (Eds.), </w:t>
      </w:r>
      <w:r w:rsidRPr="00065F9B">
        <w:rPr>
          <w:i/>
          <w:sz w:val="18"/>
          <w:szCs w:val="18"/>
        </w:rPr>
        <w:t xml:space="preserve">Proceedings of the 2010 Library Assessment Conference: Building Effective, Sustainable, Practical Assessment, October 24-27, 2010, Baltimore, Maryland </w:t>
      </w:r>
      <w:r w:rsidRPr="00065F9B">
        <w:rPr>
          <w:sz w:val="18"/>
          <w:szCs w:val="18"/>
        </w:rPr>
        <w:t>(pp. 335-343)</w:t>
      </w:r>
      <w:r w:rsidRPr="00065F9B">
        <w:rPr>
          <w:i/>
          <w:sz w:val="18"/>
          <w:szCs w:val="18"/>
        </w:rPr>
        <w:t xml:space="preserve">. </w:t>
      </w:r>
      <w:r w:rsidRPr="00065F9B">
        <w:rPr>
          <w:sz w:val="18"/>
          <w:szCs w:val="18"/>
        </w:rPr>
        <w:t>Washington, DC:</w:t>
      </w:r>
      <w:r w:rsidRPr="00065F9B">
        <w:rPr>
          <w:i/>
          <w:sz w:val="18"/>
          <w:szCs w:val="18"/>
        </w:rPr>
        <w:t xml:space="preserve"> </w:t>
      </w:r>
      <w:r w:rsidRPr="00065F9B">
        <w:rPr>
          <w:sz w:val="18"/>
          <w:szCs w:val="18"/>
        </w:rPr>
        <w:t xml:space="preserve">Association of Research Libraries. Retrieved May 25, 2014, from </w:t>
      </w:r>
      <w:hyperlink r:id="rId20" w:history="1">
        <w:r w:rsidRPr="00065F9B">
          <w:rPr>
            <w:rStyle w:val="Hyperlink"/>
            <w:sz w:val="18"/>
            <w:szCs w:val="18"/>
          </w:rPr>
          <w:t>http://libraryassessment.org/bm~doc/proceedings-lac-2010.pdf</w:t>
        </w:r>
      </w:hyperlink>
      <w:r w:rsidRPr="00065F9B">
        <w:rPr>
          <w:sz w:val="18"/>
          <w:szCs w:val="18"/>
        </w:rPr>
        <w:t>.</w:t>
      </w:r>
    </w:p>
    <w:p w14:paraId="3120019D" w14:textId="77777777" w:rsidR="005233C6" w:rsidRPr="000A4C39" w:rsidRDefault="005233C6" w:rsidP="0021328A">
      <w:pPr>
        <w:widowControl w:val="0"/>
        <w:autoSpaceDE w:val="0"/>
        <w:autoSpaceDN w:val="0"/>
        <w:adjustRightInd w:val="0"/>
        <w:ind w:left="144" w:hanging="144"/>
        <w:rPr>
          <w:sz w:val="18"/>
          <w:szCs w:val="18"/>
        </w:rPr>
      </w:pPr>
      <w:proofErr w:type="spellStart"/>
      <w:r w:rsidRPr="000A4C39">
        <w:rPr>
          <w:sz w:val="18"/>
          <w:szCs w:val="18"/>
        </w:rPr>
        <w:t>Choong</w:t>
      </w:r>
      <w:proofErr w:type="spellEnd"/>
      <w:r w:rsidRPr="000A4C39">
        <w:rPr>
          <w:sz w:val="18"/>
          <w:szCs w:val="18"/>
        </w:rPr>
        <w:t xml:space="preserve">, K. K. (2008). Intellectual capital: definitions, categorization and reporting models. </w:t>
      </w:r>
      <w:r w:rsidRPr="000A4C39">
        <w:rPr>
          <w:i/>
          <w:sz w:val="18"/>
          <w:szCs w:val="18"/>
        </w:rPr>
        <w:t>Journal of Intellectual Capital, 9</w:t>
      </w:r>
      <w:r w:rsidRPr="000A4C39">
        <w:rPr>
          <w:sz w:val="18"/>
          <w:szCs w:val="18"/>
        </w:rPr>
        <w:t xml:space="preserve">(4), 609-638. </w:t>
      </w:r>
      <w:proofErr w:type="spellStart"/>
      <w:r w:rsidRPr="000A4C39">
        <w:rPr>
          <w:sz w:val="18"/>
          <w:szCs w:val="18"/>
        </w:rPr>
        <w:t>doi</w:t>
      </w:r>
      <w:proofErr w:type="spellEnd"/>
      <w:r w:rsidRPr="000A4C39">
        <w:rPr>
          <w:sz w:val="18"/>
          <w:szCs w:val="18"/>
        </w:rPr>
        <w:t xml:space="preserve">: </w:t>
      </w:r>
      <w:hyperlink r:id="rId21" w:history="1">
        <w:r w:rsidRPr="000A4C39">
          <w:rPr>
            <w:sz w:val="18"/>
            <w:szCs w:val="18"/>
          </w:rPr>
          <w:t>10.1108/14691930810913186</w:t>
        </w:r>
      </w:hyperlink>
      <w:r>
        <w:rPr>
          <w:sz w:val="18"/>
          <w:szCs w:val="18"/>
        </w:rPr>
        <w:t>.</w:t>
      </w:r>
    </w:p>
    <w:p w14:paraId="196DA4BD" w14:textId="77777777" w:rsidR="005233C6" w:rsidRDefault="005233C6" w:rsidP="0021328A">
      <w:pPr>
        <w:widowControl w:val="0"/>
        <w:autoSpaceDE w:val="0"/>
        <w:autoSpaceDN w:val="0"/>
        <w:adjustRightInd w:val="0"/>
        <w:ind w:left="144" w:hanging="144"/>
        <w:rPr>
          <w:sz w:val="18"/>
          <w:szCs w:val="18"/>
        </w:rPr>
      </w:pPr>
      <w:r w:rsidRPr="00065F9B">
        <w:rPr>
          <w:sz w:val="18"/>
          <w:szCs w:val="18"/>
        </w:rPr>
        <w:t xml:space="preserve">Corrall, S. (1998, December). Are we in the knowledge management business? </w:t>
      </w:r>
      <w:r w:rsidRPr="00065F9B">
        <w:rPr>
          <w:i/>
          <w:sz w:val="18"/>
          <w:szCs w:val="18"/>
        </w:rPr>
        <w:t xml:space="preserve">Ariadne, 18. </w:t>
      </w:r>
      <w:r w:rsidRPr="00065F9B">
        <w:rPr>
          <w:sz w:val="18"/>
          <w:szCs w:val="18"/>
        </w:rPr>
        <w:t xml:space="preserve">Retrieved May 25, 2014, from </w:t>
      </w:r>
      <w:hyperlink r:id="rId22" w:history="1">
        <w:r w:rsidRPr="00065F9B">
          <w:rPr>
            <w:rStyle w:val="Hyperlink"/>
            <w:sz w:val="18"/>
            <w:szCs w:val="18"/>
          </w:rPr>
          <w:t>http://www.ariadne.ac.uk/print/issue18/knowledge-mgt</w:t>
        </w:r>
      </w:hyperlink>
      <w:r>
        <w:rPr>
          <w:sz w:val="18"/>
          <w:szCs w:val="18"/>
        </w:rPr>
        <w:t>.</w:t>
      </w:r>
    </w:p>
    <w:p w14:paraId="666D7753" w14:textId="5E02A602" w:rsidR="00C00B62" w:rsidRDefault="00C00B62" w:rsidP="0021328A">
      <w:pPr>
        <w:ind w:left="144" w:hanging="144"/>
        <w:rPr>
          <w:spacing w:val="-3"/>
          <w:sz w:val="18"/>
          <w:szCs w:val="18"/>
        </w:rPr>
      </w:pPr>
      <w:r w:rsidRPr="00C00B62">
        <w:rPr>
          <w:spacing w:val="-3"/>
          <w:sz w:val="18"/>
          <w:szCs w:val="18"/>
        </w:rPr>
        <w:t>Corrall, S.  (2012)</w:t>
      </w:r>
      <w:r>
        <w:rPr>
          <w:spacing w:val="-3"/>
          <w:sz w:val="18"/>
          <w:szCs w:val="18"/>
        </w:rPr>
        <w:t xml:space="preserve">. </w:t>
      </w:r>
      <w:r w:rsidR="00F622C4">
        <w:rPr>
          <w:spacing w:val="-3"/>
          <w:sz w:val="18"/>
          <w:szCs w:val="18"/>
        </w:rPr>
        <w:t>Roles and responsibilities: Libraries, librarians and data. I</w:t>
      </w:r>
      <w:r w:rsidRPr="00C00B62">
        <w:rPr>
          <w:spacing w:val="-3"/>
          <w:sz w:val="18"/>
          <w:szCs w:val="18"/>
        </w:rPr>
        <w:t xml:space="preserve">n </w:t>
      </w:r>
      <w:r w:rsidR="00F622C4">
        <w:rPr>
          <w:spacing w:val="-3"/>
          <w:sz w:val="18"/>
          <w:szCs w:val="18"/>
        </w:rPr>
        <w:t xml:space="preserve">G. </w:t>
      </w:r>
      <w:r w:rsidRPr="00C00B62">
        <w:rPr>
          <w:spacing w:val="-3"/>
          <w:sz w:val="18"/>
          <w:szCs w:val="18"/>
        </w:rPr>
        <w:t>Pryor</w:t>
      </w:r>
      <w:r w:rsidR="00F622C4">
        <w:rPr>
          <w:spacing w:val="-3"/>
          <w:sz w:val="18"/>
          <w:szCs w:val="18"/>
        </w:rPr>
        <w:t xml:space="preserve"> (E</w:t>
      </w:r>
      <w:r w:rsidRPr="00C00B62">
        <w:rPr>
          <w:spacing w:val="-3"/>
          <w:sz w:val="18"/>
          <w:szCs w:val="18"/>
        </w:rPr>
        <w:t>d.)</w:t>
      </w:r>
      <w:r w:rsidR="00F622C4">
        <w:rPr>
          <w:spacing w:val="-3"/>
          <w:sz w:val="18"/>
          <w:szCs w:val="18"/>
        </w:rPr>
        <w:t>,</w:t>
      </w:r>
      <w:r w:rsidRPr="00C00B62">
        <w:rPr>
          <w:spacing w:val="-3"/>
          <w:sz w:val="18"/>
          <w:szCs w:val="18"/>
        </w:rPr>
        <w:t xml:space="preserve"> </w:t>
      </w:r>
      <w:r w:rsidR="00F622C4">
        <w:rPr>
          <w:i/>
          <w:spacing w:val="-3"/>
          <w:sz w:val="18"/>
          <w:szCs w:val="18"/>
        </w:rPr>
        <w:t>Managing research data</w:t>
      </w:r>
      <w:r w:rsidRPr="00C00B62">
        <w:rPr>
          <w:i/>
          <w:spacing w:val="-3"/>
          <w:sz w:val="18"/>
          <w:szCs w:val="18"/>
        </w:rPr>
        <w:t xml:space="preserve"> </w:t>
      </w:r>
      <w:r w:rsidR="00F622C4">
        <w:rPr>
          <w:spacing w:val="-3"/>
          <w:sz w:val="18"/>
          <w:szCs w:val="18"/>
        </w:rPr>
        <w:t>(</w:t>
      </w:r>
      <w:r w:rsidRPr="00C00B62">
        <w:rPr>
          <w:spacing w:val="-3"/>
          <w:sz w:val="18"/>
          <w:szCs w:val="18"/>
        </w:rPr>
        <w:t>pp. 105-133</w:t>
      </w:r>
      <w:r w:rsidR="00F622C4">
        <w:rPr>
          <w:spacing w:val="-3"/>
          <w:sz w:val="18"/>
          <w:szCs w:val="18"/>
        </w:rPr>
        <w:t>)</w:t>
      </w:r>
      <w:r w:rsidRPr="00C00B62">
        <w:rPr>
          <w:spacing w:val="-3"/>
          <w:sz w:val="18"/>
          <w:szCs w:val="18"/>
        </w:rPr>
        <w:t>.</w:t>
      </w:r>
      <w:r w:rsidRPr="00C00B62">
        <w:rPr>
          <w:i/>
          <w:spacing w:val="-3"/>
          <w:sz w:val="18"/>
          <w:szCs w:val="18"/>
        </w:rPr>
        <w:t xml:space="preserve"> </w:t>
      </w:r>
      <w:r w:rsidRPr="00C00B62">
        <w:rPr>
          <w:spacing w:val="-3"/>
          <w:sz w:val="18"/>
          <w:szCs w:val="18"/>
        </w:rPr>
        <w:t>London: Facet.</w:t>
      </w:r>
    </w:p>
    <w:p w14:paraId="1E55B018" w14:textId="77777777" w:rsidR="005233C6" w:rsidRPr="00952DEC" w:rsidRDefault="005233C6" w:rsidP="0021328A">
      <w:pPr>
        <w:pStyle w:val="NoSpacing"/>
        <w:spacing w:after="80"/>
        <w:ind w:left="144" w:hanging="144"/>
        <w:jc w:val="both"/>
        <w:rPr>
          <w:rFonts w:ascii="Times New Roman" w:hAnsi="Times New Roman"/>
          <w:spacing w:val="-3"/>
          <w:sz w:val="18"/>
          <w:szCs w:val="18"/>
        </w:rPr>
      </w:pPr>
      <w:r w:rsidRPr="00952DEC">
        <w:rPr>
          <w:rFonts w:ascii="Times New Roman" w:hAnsi="Times New Roman"/>
          <w:spacing w:val="-3"/>
          <w:sz w:val="18"/>
          <w:szCs w:val="18"/>
        </w:rPr>
        <w:t xml:space="preserve">Corrall, S., &amp; </w:t>
      </w:r>
      <w:proofErr w:type="spellStart"/>
      <w:r w:rsidRPr="00952DEC">
        <w:rPr>
          <w:rFonts w:ascii="Times New Roman" w:hAnsi="Times New Roman"/>
          <w:spacing w:val="-3"/>
          <w:sz w:val="18"/>
          <w:szCs w:val="18"/>
        </w:rPr>
        <w:t>Sriborisutsakul</w:t>
      </w:r>
      <w:proofErr w:type="spellEnd"/>
      <w:r w:rsidRPr="00952DEC">
        <w:rPr>
          <w:rFonts w:ascii="Times New Roman" w:hAnsi="Times New Roman"/>
          <w:spacing w:val="-3"/>
          <w:sz w:val="18"/>
          <w:szCs w:val="18"/>
        </w:rPr>
        <w:t xml:space="preserve">, S. (2010). Evaluating intellectual assets in university libraries: A multi-site case study from Thailand. </w:t>
      </w:r>
      <w:r w:rsidRPr="00952DEC">
        <w:rPr>
          <w:rFonts w:ascii="Times New Roman" w:hAnsi="Times New Roman"/>
          <w:i/>
          <w:spacing w:val="-3"/>
          <w:sz w:val="18"/>
          <w:szCs w:val="18"/>
        </w:rPr>
        <w:t>Journal of Information and Knowledge Management, 9</w:t>
      </w:r>
      <w:r w:rsidRPr="00952DEC">
        <w:rPr>
          <w:rFonts w:ascii="Times New Roman" w:hAnsi="Times New Roman"/>
          <w:spacing w:val="-3"/>
          <w:sz w:val="18"/>
          <w:szCs w:val="18"/>
        </w:rPr>
        <w:t>(3)</w:t>
      </w:r>
      <w:r w:rsidRPr="00952DEC">
        <w:rPr>
          <w:rFonts w:ascii="Times New Roman" w:hAnsi="Times New Roman"/>
          <w:i/>
          <w:spacing w:val="-3"/>
          <w:sz w:val="18"/>
          <w:szCs w:val="18"/>
        </w:rPr>
        <w:t xml:space="preserve">, </w:t>
      </w:r>
      <w:r w:rsidRPr="00952DEC">
        <w:rPr>
          <w:rFonts w:ascii="Times New Roman" w:hAnsi="Times New Roman"/>
          <w:spacing w:val="-3"/>
          <w:sz w:val="18"/>
          <w:szCs w:val="18"/>
        </w:rPr>
        <w:t xml:space="preserve">277-290. </w:t>
      </w:r>
      <w:proofErr w:type="spellStart"/>
      <w:r w:rsidRPr="00952DEC">
        <w:rPr>
          <w:rFonts w:ascii="Times New Roman" w:hAnsi="Times New Roman"/>
          <w:color w:val="auto"/>
          <w:spacing w:val="-3"/>
          <w:sz w:val="18"/>
          <w:szCs w:val="18"/>
        </w:rPr>
        <w:t>doi</w:t>
      </w:r>
      <w:proofErr w:type="spellEnd"/>
      <w:r w:rsidRPr="00952DEC">
        <w:rPr>
          <w:rFonts w:ascii="Times New Roman" w:hAnsi="Times New Roman"/>
          <w:color w:val="auto"/>
          <w:spacing w:val="-3"/>
          <w:sz w:val="18"/>
          <w:szCs w:val="18"/>
        </w:rPr>
        <w:t xml:space="preserve">: </w:t>
      </w:r>
      <w:r w:rsidRPr="00952DEC">
        <w:rPr>
          <w:rFonts w:ascii="Times New Roman" w:hAnsi="Times New Roman"/>
          <w:color w:val="auto"/>
          <w:sz w:val="18"/>
          <w:szCs w:val="18"/>
        </w:rPr>
        <w:t>10.1142/S021964921000267X</w:t>
      </w:r>
      <w:r>
        <w:rPr>
          <w:rFonts w:ascii="Times New Roman" w:hAnsi="Times New Roman"/>
          <w:color w:val="auto"/>
          <w:sz w:val="18"/>
          <w:szCs w:val="18"/>
        </w:rPr>
        <w:t>.</w:t>
      </w:r>
    </w:p>
    <w:p w14:paraId="17621822" w14:textId="53588526" w:rsidR="00FB2859" w:rsidRDefault="00FB2859" w:rsidP="0021328A">
      <w:pPr>
        <w:pStyle w:val="NormalWeb"/>
        <w:spacing w:before="0" w:beforeAutospacing="0" w:after="80" w:afterAutospacing="0"/>
        <w:ind w:left="144" w:hanging="144"/>
        <w:jc w:val="both"/>
        <w:rPr>
          <w:rFonts w:ascii="Times New Roman" w:hAnsi="Times New Roman"/>
          <w:bCs/>
          <w:iCs/>
          <w:sz w:val="18"/>
          <w:szCs w:val="18"/>
          <w:lang w:val="en-AU"/>
        </w:rPr>
      </w:pPr>
      <w:proofErr w:type="spellStart"/>
      <w:r w:rsidRPr="00FB2859">
        <w:rPr>
          <w:rFonts w:ascii="Times New Roman" w:hAnsi="Times New Roman"/>
          <w:bCs/>
          <w:iCs/>
          <w:sz w:val="18"/>
          <w:szCs w:val="18"/>
          <w:lang w:val="en-AU"/>
        </w:rPr>
        <w:t>Corrall</w:t>
      </w:r>
      <w:proofErr w:type="spellEnd"/>
      <w:r w:rsidRPr="00FB2859">
        <w:rPr>
          <w:rFonts w:ascii="Times New Roman" w:hAnsi="Times New Roman"/>
          <w:bCs/>
          <w:iCs/>
          <w:sz w:val="18"/>
          <w:szCs w:val="18"/>
          <w:lang w:val="en-AU"/>
        </w:rPr>
        <w:t xml:space="preserve">, S., Kennan, M. A., &amp; </w:t>
      </w:r>
      <w:proofErr w:type="spellStart"/>
      <w:r w:rsidRPr="00FB2859">
        <w:rPr>
          <w:rFonts w:ascii="Times New Roman" w:hAnsi="Times New Roman"/>
          <w:bCs/>
          <w:iCs/>
          <w:sz w:val="18"/>
          <w:szCs w:val="18"/>
          <w:lang w:val="en-AU"/>
        </w:rPr>
        <w:t>Afzal</w:t>
      </w:r>
      <w:proofErr w:type="spellEnd"/>
      <w:r w:rsidRPr="00FB2859">
        <w:rPr>
          <w:rFonts w:ascii="Times New Roman" w:hAnsi="Times New Roman"/>
          <w:bCs/>
          <w:iCs/>
          <w:sz w:val="18"/>
          <w:szCs w:val="18"/>
          <w:lang w:val="en-AU"/>
        </w:rPr>
        <w:t xml:space="preserve">, W. (2013). </w:t>
      </w:r>
      <w:proofErr w:type="spellStart"/>
      <w:r w:rsidRPr="00FB2859">
        <w:rPr>
          <w:rFonts w:ascii="Times New Roman" w:hAnsi="Times New Roman"/>
          <w:bCs/>
          <w:iCs/>
          <w:sz w:val="18"/>
          <w:szCs w:val="18"/>
          <w:lang w:val="en-AU"/>
        </w:rPr>
        <w:t>Bibliometrics</w:t>
      </w:r>
      <w:proofErr w:type="spellEnd"/>
      <w:r w:rsidRPr="00FB2859">
        <w:rPr>
          <w:rFonts w:ascii="Times New Roman" w:hAnsi="Times New Roman"/>
          <w:bCs/>
          <w:iCs/>
          <w:sz w:val="18"/>
          <w:szCs w:val="18"/>
          <w:lang w:val="en-AU"/>
        </w:rPr>
        <w:t xml:space="preserve"> and research data management: Emerging trends in library support for research.</w:t>
      </w:r>
      <w:r w:rsidRPr="00FB2859">
        <w:rPr>
          <w:rFonts w:ascii="Times New Roman" w:hAnsi="Times New Roman"/>
          <w:bCs/>
          <w:i/>
          <w:iCs/>
          <w:sz w:val="18"/>
          <w:szCs w:val="18"/>
          <w:lang w:val="en-AU"/>
        </w:rPr>
        <w:t xml:space="preserve"> Library Trends, 61</w:t>
      </w:r>
      <w:r w:rsidRPr="00FB2859">
        <w:rPr>
          <w:rFonts w:ascii="Times New Roman" w:hAnsi="Times New Roman"/>
          <w:bCs/>
          <w:iCs/>
          <w:sz w:val="18"/>
          <w:szCs w:val="18"/>
          <w:lang w:val="en-AU"/>
        </w:rPr>
        <w:t xml:space="preserve">(3), 636-674. </w:t>
      </w:r>
      <w:proofErr w:type="spellStart"/>
      <w:r w:rsidR="00643104" w:rsidRPr="00FB2859">
        <w:rPr>
          <w:rFonts w:ascii="Times New Roman" w:hAnsi="Times New Roman"/>
          <w:bCs/>
          <w:iCs/>
          <w:sz w:val="18"/>
          <w:szCs w:val="18"/>
          <w:lang w:val="en-AU"/>
        </w:rPr>
        <w:t>doi</w:t>
      </w:r>
      <w:proofErr w:type="spellEnd"/>
      <w:r w:rsidR="00643104" w:rsidRPr="00FB2859">
        <w:rPr>
          <w:rFonts w:ascii="Times New Roman" w:hAnsi="Times New Roman"/>
          <w:bCs/>
          <w:iCs/>
          <w:sz w:val="18"/>
          <w:szCs w:val="18"/>
          <w:lang w:val="en-AU"/>
        </w:rPr>
        <w:t>:</w:t>
      </w:r>
      <w:r w:rsidR="004E5A6A">
        <w:rPr>
          <w:rFonts w:ascii="Times New Roman" w:hAnsi="Times New Roman"/>
          <w:bCs/>
          <w:iCs/>
          <w:sz w:val="18"/>
          <w:szCs w:val="18"/>
          <w:lang w:val="en-AU"/>
        </w:rPr>
        <w:t xml:space="preserve"> </w:t>
      </w:r>
      <w:r w:rsidR="00643104" w:rsidRPr="004E5A6A">
        <w:rPr>
          <w:rFonts w:ascii="Times New Roman" w:hAnsi="Times New Roman"/>
          <w:color w:val="262626"/>
          <w:sz w:val="18"/>
          <w:szCs w:val="18"/>
        </w:rPr>
        <w:t xml:space="preserve">10.1353/lib.2013.0005. </w:t>
      </w:r>
      <w:r w:rsidRPr="004E5A6A">
        <w:rPr>
          <w:rFonts w:ascii="Times New Roman" w:hAnsi="Times New Roman"/>
          <w:bCs/>
          <w:iCs/>
          <w:sz w:val="18"/>
          <w:szCs w:val="18"/>
          <w:lang w:val="en-AU"/>
        </w:rPr>
        <w:t xml:space="preserve">Retrieved </w:t>
      </w:r>
      <w:r w:rsidR="00643104" w:rsidRPr="004E5A6A">
        <w:rPr>
          <w:rFonts w:ascii="Times New Roman" w:hAnsi="Times New Roman"/>
          <w:bCs/>
          <w:iCs/>
          <w:sz w:val="18"/>
          <w:szCs w:val="18"/>
          <w:lang w:val="en-AU"/>
        </w:rPr>
        <w:t>May 25</w:t>
      </w:r>
      <w:r w:rsidRPr="004E5A6A">
        <w:rPr>
          <w:rFonts w:ascii="Times New Roman" w:hAnsi="Times New Roman"/>
          <w:bCs/>
          <w:iCs/>
          <w:sz w:val="18"/>
          <w:szCs w:val="18"/>
          <w:lang w:val="en-AU"/>
        </w:rPr>
        <w:t xml:space="preserve">, 2014, from </w:t>
      </w:r>
      <w:hyperlink r:id="rId23" w:history="1">
        <w:r w:rsidRPr="00FB2859">
          <w:rPr>
            <w:rStyle w:val="Hyperlink"/>
            <w:rFonts w:ascii="Times New Roman" w:hAnsi="Times New Roman"/>
            <w:bCs/>
            <w:iCs/>
            <w:sz w:val="18"/>
            <w:szCs w:val="18"/>
            <w:lang w:val="en-AU"/>
          </w:rPr>
          <w:t>http://d-scholarship.pitt.edu/18948/</w:t>
        </w:r>
      </w:hyperlink>
      <w:r w:rsidRPr="00FB2859">
        <w:rPr>
          <w:rFonts w:ascii="Times New Roman" w:hAnsi="Times New Roman"/>
          <w:bCs/>
          <w:iCs/>
          <w:sz w:val="18"/>
          <w:szCs w:val="18"/>
          <w:lang w:val="en-AU"/>
        </w:rPr>
        <w:t xml:space="preserve">. </w:t>
      </w:r>
    </w:p>
    <w:p w14:paraId="2DD28EBA" w14:textId="7C556299" w:rsidR="00AE49DF" w:rsidRPr="00AE49DF" w:rsidRDefault="00AE49DF" w:rsidP="0021328A">
      <w:pPr>
        <w:widowControl w:val="0"/>
        <w:autoSpaceDE w:val="0"/>
        <w:autoSpaceDN w:val="0"/>
        <w:adjustRightInd w:val="0"/>
        <w:ind w:left="144" w:hanging="144"/>
        <w:rPr>
          <w:sz w:val="18"/>
          <w:szCs w:val="18"/>
        </w:rPr>
      </w:pPr>
      <w:r w:rsidRPr="00AE49DF">
        <w:rPr>
          <w:sz w:val="18"/>
          <w:szCs w:val="18"/>
        </w:rPr>
        <w:t xml:space="preserve">Covert-Vail, L., &amp; Collard, S. (2012). </w:t>
      </w:r>
      <w:r w:rsidRPr="00AE49DF">
        <w:rPr>
          <w:i/>
          <w:sz w:val="18"/>
          <w:szCs w:val="18"/>
        </w:rPr>
        <w:t xml:space="preserve">New roles for new times: Research library services for graduate students. </w:t>
      </w:r>
      <w:r w:rsidRPr="00AE49DF">
        <w:rPr>
          <w:sz w:val="18"/>
          <w:szCs w:val="18"/>
        </w:rPr>
        <w:t xml:space="preserve">Washington, DC: Association of Research Libraries. Retrieved </w:t>
      </w:r>
      <w:r>
        <w:rPr>
          <w:sz w:val="18"/>
          <w:szCs w:val="18"/>
        </w:rPr>
        <w:t>May 25</w:t>
      </w:r>
      <w:r w:rsidRPr="00AE49DF">
        <w:rPr>
          <w:sz w:val="18"/>
          <w:szCs w:val="18"/>
        </w:rPr>
        <w:t xml:space="preserve">, 2014, from </w:t>
      </w:r>
      <w:hyperlink r:id="rId24" w:history="1">
        <w:r w:rsidRPr="00AE49DF">
          <w:rPr>
            <w:rStyle w:val="Hyperlink"/>
            <w:sz w:val="18"/>
            <w:szCs w:val="18"/>
          </w:rPr>
          <w:t>http://www.arl.org/storage/documents/publications/nrnt-grad-roles-20dec12.pdf</w:t>
        </w:r>
      </w:hyperlink>
      <w:r w:rsidRPr="00AE49DF">
        <w:rPr>
          <w:sz w:val="18"/>
          <w:szCs w:val="18"/>
        </w:rPr>
        <w:t>.</w:t>
      </w:r>
    </w:p>
    <w:p w14:paraId="58513C7E" w14:textId="77777777" w:rsidR="005233C6" w:rsidRPr="00065F9B" w:rsidRDefault="005233C6" w:rsidP="0021328A">
      <w:pPr>
        <w:widowControl w:val="0"/>
        <w:autoSpaceDE w:val="0"/>
        <w:autoSpaceDN w:val="0"/>
        <w:adjustRightInd w:val="0"/>
        <w:ind w:left="144" w:hanging="144"/>
        <w:rPr>
          <w:color w:val="0000FF"/>
          <w:sz w:val="18"/>
          <w:szCs w:val="18"/>
          <w:u w:val="single"/>
        </w:rPr>
      </w:pPr>
      <w:r w:rsidRPr="00065F9B">
        <w:rPr>
          <w:sz w:val="18"/>
          <w:szCs w:val="18"/>
        </w:rPr>
        <w:t xml:space="preserve">Cox, A. M., &amp; Corrall, S. (2013). Evolving academic library specialties. </w:t>
      </w:r>
      <w:r w:rsidRPr="00065F9B">
        <w:rPr>
          <w:i/>
          <w:sz w:val="18"/>
          <w:szCs w:val="18"/>
        </w:rPr>
        <w:t>Journal of the American Society for Information Science and Technology, 64</w:t>
      </w:r>
      <w:r w:rsidRPr="00065F9B">
        <w:rPr>
          <w:sz w:val="18"/>
          <w:szCs w:val="18"/>
        </w:rPr>
        <w:t>(8), 1526-1542.</w:t>
      </w:r>
      <w:r w:rsidRPr="00065F9B">
        <w:rPr>
          <w:i/>
          <w:sz w:val="18"/>
          <w:szCs w:val="18"/>
        </w:rPr>
        <w:t xml:space="preserve"> </w:t>
      </w:r>
      <w:r w:rsidRPr="00065F9B">
        <w:rPr>
          <w:sz w:val="18"/>
          <w:szCs w:val="18"/>
        </w:rPr>
        <w:t xml:space="preserve"> </w:t>
      </w:r>
      <w:proofErr w:type="spellStart"/>
      <w:r w:rsidRPr="00065F9B">
        <w:rPr>
          <w:sz w:val="18"/>
          <w:szCs w:val="18"/>
        </w:rPr>
        <w:t>doi</w:t>
      </w:r>
      <w:proofErr w:type="spellEnd"/>
      <w:r w:rsidRPr="00065F9B">
        <w:rPr>
          <w:sz w:val="18"/>
          <w:szCs w:val="18"/>
        </w:rPr>
        <w:t>: 10.1002/asi.22847</w:t>
      </w:r>
      <w:r>
        <w:rPr>
          <w:sz w:val="18"/>
          <w:szCs w:val="18"/>
        </w:rPr>
        <w:t>.</w:t>
      </w:r>
    </w:p>
    <w:p w14:paraId="3F8A9B52" w14:textId="77777777" w:rsidR="005233C6" w:rsidRDefault="005233C6" w:rsidP="0021328A">
      <w:pPr>
        <w:ind w:left="144" w:hanging="144"/>
        <w:rPr>
          <w:rStyle w:val="Hyperlink"/>
          <w:sz w:val="18"/>
          <w:szCs w:val="18"/>
        </w:rPr>
      </w:pPr>
      <w:proofErr w:type="spellStart"/>
      <w:r w:rsidRPr="00065F9B">
        <w:rPr>
          <w:sz w:val="18"/>
          <w:szCs w:val="18"/>
        </w:rPr>
        <w:t>Cribb</w:t>
      </w:r>
      <w:proofErr w:type="spellEnd"/>
      <w:r w:rsidRPr="00065F9B">
        <w:rPr>
          <w:sz w:val="18"/>
          <w:szCs w:val="18"/>
        </w:rPr>
        <w:t xml:space="preserve">, G. (2005). Human resource development: Impacting on all four perspectives of the Balanced Scorecard. In </w:t>
      </w:r>
      <w:r w:rsidRPr="00065F9B">
        <w:rPr>
          <w:bCs/>
          <w:i/>
          <w:sz w:val="18"/>
          <w:szCs w:val="18"/>
        </w:rPr>
        <w:t xml:space="preserve">Libraries – A Voyage of Discovery: World Library and Information Congress, 71th IFLA General Conference and Council, August 14-18, 2005, Oslo, Norway. </w:t>
      </w:r>
      <w:r w:rsidRPr="00065F9B">
        <w:rPr>
          <w:bCs/>
          <w:sz w:val="18"/>
          <w:szCs w:val="18"/>
        </w:rPr>
        <w:t>Retrieved May 25, 2014, from</w:t>
      </w:r>
      <w:r w:rsidRPr="00065F9B">
        <w:rPr>
          <w:sz w:val="18"/>
          <w:szCs w:val="18"/>
        </w:rPr>
        <w:t xml:space="preserve"> </w:t>
      </w:r>
      <w:hyperlink r:id="rId25" w:history="1">
        <w:r w:rsidRPr="00065F9B">
          <w:rPr>
            <w:rStyle w:val="Hyperlink"/>
            <w:sz w:val="18"/>
            <w:szCs w:val="18"/>
          </w:rPr>
          <w:t>http://archive.ifla.org/IV/ifla71/papers/075e-Cribb.pdf</w:t>
        </w:r>
      </w:hyperlink>
      <w:r>
        <w:rPr>
          <w:rStyle w:val="Hyperlink"/>
          <w:sz w:val="18"/>
          <w:szCs w:val="18"/>
        </w:rPr>
        <w:t>.</w:t>
      </w:r>
    </w:p>
    <w:p w14:paraId="53A1EEFE" w14:textId="77777777" w:rsidR="005233C6" w:rsidRPr="00065F9B" w:rsidRDefault="005233C6" w:rsidP="0021328A">
      <w:pPr>
        <w:widowControl w:val="0"/>
        <w:autoSpaceDE w:val="0"/>
        <w:autoSpaceDN w:val="0"/>
        <w:adjustRightInd w:val="0"/>
        <w:ind w:left="144" w:hanging="144"/>
        <w:rPr>
          <w:sz w:val="18"/>
          <w:szCs w:val="18"/>
        </w:rPr>
      </w:pPr>
      <w:proofErr w:type="spellStart"/>
      <w:r w:rsidRPr="00065F9B">
        <w:rPr>
          <w:sz w:val="18"/>
          <w:szCs w:val="18"/>
        </w:rPr>
        <w:t>Dakers</w:t>
      </w:r>
      <w:proofErr w:type="spellEnd"/>
      <w:r w:rsidRPr="00065F9B">
        <w:rPr>
          <w:sz w:val="18"/>
          <w:szCs w:val="18"/>
        </w:rPr>
        <w:t xml:space="preserve">, H. (1998). Intellectual capital: Auditing the people assets. </w:t>
      </w:r>
      <w:r w:rsidRPr="00065F9B">
        <w:rPr>
          <w:i/>
          <w:sz w:val="18"/>
          <w:szCs w:val="18"/>
        </w:rPr>
        <w:t>INSPEL, 32</w:t>
      </w:r>
      <w:r w:rsidRPr="00065F9B">
        <w:rPr>
          <w:sz w:val="18"/>
          <w:szCs w:val="18"/>
        </w:rPr>
        <w:t xml:space="preserve">(4), 234-242. Retrieved May 25, 2014, from </w:t>
      </w:r>
      <w:hyperlink r:id="rId26" w:history="1">
        <w:r w:rsidRPr="00065F9B">
          <w:rPr>
            <w:rStyle w:val="Hyperlink"/>
            <w:sz w:val="18"/>
            <w:szCs w:val="18"/>
          </w:rPr>
          <w:t>http://forge.fh-potsdam.de/~IFLA/INSPEL/98-4dakh.pdf</w:t>
        </w:r>
      </w:hyperlink>
      <w:r w:rsidRPr="00065F9B">
        <w:rPr>
          <w:sz w:val="18"/>
          <w:szCs w:val="18"/>
        </w:rPr>
        <w:t>.</w:t>
      </w:r>
    </w:p>
    <w:p w14:paraId="065A72EC" w14:textId="77777777" w:rsidR="005233C6" w:rsidRPr="00065F9B" w:rsidRDefault="005233C6" w:rsidP="0021328A">
      <w:pPr>
        <w:ind w:left="144" w:hanging="144"/>
        <w:rPr>
          <w:sz w:val="18"/>
          <w:szCs w:val="18"/>
        </w:rPr>
      </w:pPr>
      <w:r w:rsidRPr="00065F9B">
        <w:rPr>
          <w:sz w:val="18"/>
          <w:szCs w:val="18"/>
        </w:rPr>
        <w:t xml:space="preserve">Dempsey, L. (2012, December 10). </w:t>
      </w:r>
      <w:r w:rsidRPr="00065F9B">
        <w:rPr>
          <w:color w:val="1F1F1F"/>
          <w:sz w:val="18"/>
          <w:szCs w:val="18"/>
        </w:rPr>
        <w:t xml:space="preserve">Thirteen ways of looking at libraries, discovery, and the catalog: Scale, workflow, attention. </w:t>
      </w:r>
      <w:r w:rsidRPr="00065F9B">
        <w:rPr>
          <w:i/>
          <w:color w:val="1F1F1F"/>
          <w:sz w:val="18"/>
          <w:szCs w:val="18"/>
        </w:rPr>
        <w:t>EDUCAUSE Review.</w:t>
      </w:r>
      <w:r w:rsidRPr="00065F9B">
        <w:rPr>
          <w:color w:val="1F1F1F"/>
          <w:sz w:val="18"/>
          <w:szCs w:val="18"/>
        </w:rPr>
        <w:t xml:space="preserve"> Retrieved May 25, 2014, from</w:t>
      </w:r>
      <w:r w:rsidRPr="00065F9B">
        <w:rPr>
          <w:sz w:val="18"/>
          <w:szCs w:val="18"/>
        </w:rPr>
        <w:t xml:space="preserve"> </w:t>
      </w:r>
      <w:hyperlink r:id="rId27" w:history="1">
        <w:r w:rsidRPr="00065F9B">
          <w:rPr>
            <w:rStyle w:val="Hyperlink"/>
            <w:sz w:val="18"/>
            <w:szCs w:val="18"/>
          </w:rPr>
          <w:t>http://www.educause.edu/ero/article/thirteen-ways-looking-libraries-discovery-and-catalog-scale-workflow-attention</w:t>
        </w:r>
      </w:hyperlink>
      <w:r w:rsidRPr="00065F9B">
        <w:rPr>
          <w:sz w:val="18"/>
          <w:szCs w:val="18"/>
        </w:rPr>
        <w:t>.</w:t>
      </w:r>
    </w:p>
    <w:p w14:paraId="60C1670F" w14:textId="77777777" w:rsidR="005233C6" w:rsidRPr="00065F9B" w:rsidRDefault="005233C6" w:rsidP="0021328A">
      <w:pPr>
        <w:ind w:left="144" w:hanging="144"/>
        <w:rPr>
          <w:sz w:val="18"/>
          <w:szCs w:val="18"/>
        </w:rPr>
      </w:pPr>
      <w:proofErr w:type="spellStart"/>
      <w:r w:rsidRPr="00065F9B">
        <w:rPr>
          <w:sz w:val="18"/>
          <w:szCs w:val="18"/>
        </w:rPr>
        <w:t>Düren</w:t>
      </w:r>
      <w:proofErr w:type="spellEnd"/>
      <w:r w:rsidRPr="00065F9B">
        <w:rPr>
          <w:sz w:val="18"/>
          <w:szCs w:val="18"/>
        </w:rPr>
        <w:t xml:space="preserve">, P. (2010). Public management means strategic management: How can libraries </w:t>
      </w:r>
      <w:proofErr w:type="spellStart"/>
      <w:r w:rsidRPr="00065F9B">
        <w:rPr>
          <w:sz w:val="18"/>
          <w:szCs w:val="18"/>
        </w:rPr>
        <w:t>fulfil</w:t>
      </w:r>
      <w:proofErr w:type="spellEnd"/>
      <w:r w:rsidRPr="00065F9B">
        <w:rPr>
          <w:sz w:val="18"/>
          <w:szCs w:val="18"/>
        </w:rPr>
        <w:t xml:space="preserve"> the requirements of the new public management? </w:t>
      </w:r>
      <w:r w:rsidRPr="00065F9B">
        <w:rPr>
          <w:i/>
          <w:iCs/>
          <w:sz w:val="18"/>
          <w:szCs w:val="18"/>
        </w:rPr>
        <w:t xml:space="preserve">Library Management, </w:t>
      </w:r>
      <w:r w:rsidRPr="00065F9B">
        <w:rPr>
          <w:i/>
          <w:sz w:val="18"/>
          <w:szCs w:val="18"/>
        </w:rPr>
        <w:t>31</w:t>
      </w:r>
      <w:r w:rsidRPr="00065F9B">
        <w:rPr>
          <w:sz w:val="18"/>
          <w:szCs w:val="18"/>
        </w:rPr>
        <w:t xml:space="preserve">(3), 162-168. </w:t>
      </w:r>
      <w:proofErr w:type="spellStart"/>
      <w:r w:rsidRPr="00065F9B">
        <w:rPr>
          <w:sz w:val="18"/>
          <w:szCs w:val="18"/>
        </w:rPr>
        <w:t>doi</w:t>
      </w:r>
      <w:proofErr w:type="spellEnd"/>
      <w:r w:rsidRPr="00065F9B">
        <w:rPr>
          <w:sz w:val="18"/>
          <w:szCs w:val="18"/>
        </w:rPr>
        <w:t>: 10.1108/01435121011027336</w:t>
      </w:r>
      <w:r>
        <w:rPr>
          <w:sz w:val="18"/>
          <w:szCs w:val="18"/>
        </w:rPr>
        <w:t>.</w:t>
      </w:r>
    </w:p>
    <w:p w14:paraId="769B9B10" w14:textId="77777777" w:rsidR="005233C6" w:rsidRPr="00065F9B" w:rsidRDefault="005233C6" w:rsidP="0021328A">
      <w:pPr>
        <w:ind w:left="144" w:hanging="144"/>
        <w:rPr>
          <w:sz w:val="18"/>
          <w:szCs w:val="18"/>
        </w:rPr>
      </w:pPr>
      <w:proofErr w:type="spellStart"/>
      <w:r w:rsidRPr="00065F9B">
        <w:rPr>
          <w:sz w:val="18"/>
          <w:szCs w:val="18"/>
        </w:rPr>
        <w:t>Edvinsson</w:t>
      </w:r>
      <w:proofErr w:type="spellEnd"/>
      <w:r w:rsidRPr="00065F9B">
        <w:rPr>
          <w:sz w:val="18"/>
          <w:szCs w:val="18"/>
        </w:rPr>
        <w:t xml:space="preserve">, L. (1997). Developing intellectual capital at Skandia. </w:t>
      </w:r>
      <w:r w:rsidRPr="00065F9B">
        <w:rPr>
          <w:i/>
          <w:sz w:val="18"/>
          <w:szCs w:val="18"/>
        </w:rPr>
        <w:t>Long Range Planning, 30</w:t>
      </w:r>
      <w:r w:rsidRPr="00065F9B">
        <w:rPr>
          <w:sz w:val="18"/>
          <w:szCs w:val="18"/>
        </w:rPr>
        <w:t xml:space="preserve">(3), 366-373. </w:t>
      </w:r>
      <w:proofErr w:type="spellStart"/>
      <w:r w:rsidRPr="00065F9B">
        <w:rPr>
          <w:sz w:val="18"/>
          <w:szCs w:val="18"/>
        </w:rPr>
        <w:t>doi</w:t>
      </w:r>
      <w:proofErr w:type="spellEnd"/>
      <w:r w:rsidRPr="00065F9B">
        <w:rPr>
          <w:sz w:val="18"/>
          <w:szCs w:val="18"/>
        </w:rPr>
        <w:t xml:space="preserve">: </w:t>
      </w:r>
      <w:r w:rsidRPr="00065F9B">
        <w:rPr>
          <w:rFonts w:eastAsia="Arial Unicode MS"/>
          <w:sz w:val="18"/>
          <w:szCs w:val="18"/>
        </w:rPr>
        <w:t>10.1016/S0024-6301(97)00016-2</w:t>
      </w:r>
      <w:r>
        <w:rPr>
          <w:rFonts w:eastAsia="Arial Unicode MS"/>
          <w:sz w:val="18"/>
          <w:szCs w:val="18"/>
        </w:rPr>
        <w:t>.</w:t>
      </w:r>
    </w:p>
    <w:p w14:paraId="65401499" w14:textId="77777777" w:rsidR="00C74811" w:rsidRPr="00C74811" w:rsidRDefault="00C74811" w:rsidP="0021328A">
      <w:pPr>
        <w:widowControl w:val="0"/>
        <w:autoSpaceDE w:val="0"/>
        <w:autoSpaceDN w:val="0"/>
        <w:adjustRightInd w:val="0"/>
        <w:ind w:left="144" w:hanging="144"/>
        <w:rPr>
          <w:sz w:val="18"/>
          <w:szCs w:val="18"/>
        </w:rPr>
      </w:pPr>
      <w:r w:rsidRPr="00C74811">
        <w:rPr>
          <w:color w:val="1A1A1A"/>
          <w:sz w:val="18"/>
          <w:szCs w:val="18"/>
        </w:rPr>
        <w:t xml:space="preserve">Ferguson, S. (2012). Are public libraries developers of social capital? A review of their contribution and attempts to demonstrate it. </w:t>
      </w:r>
      <w:r w:rsidRPr="00C74811">
        <w:rPr>
          <w:i/>
          <w:iCs/>
          <w:color w:val="1A1A1A"/>
          <w:sz w:val="18"/>
          <w:szCs w:val="18"/>
        </w:rPr>
        <w:t>Australian Library Journal</w:t>
      </w:r>
      <w:r w:rsidRPr="00C74811">
        <w:rPr>
          <w:color w:val="1A1A1A"/>
          <w:sz w:val="18"/>
          <w:szCs w:val="18"/>
        </w:rPr>
        <w:t xml:space="preserve">, </w:t>
      </w:r>
      <w:r w:rsidRPr="00C74811">
        <w:rPr>
          <w:i/>
          <w:iCs/>
          <w:color w:val="1A1A1A"/>
          <w:sz w:val="18"/>
          <w:szCs w:val="18"/>
        </w:rPr>
        <w:t>61</w:t>
      </w:r>
      <w:r w:rsidRPr="00C74811">
        <w:rPr>
          <w:color w:val="1A1A1A"/>
          <w:sz w:val="18"/>
          <w:szCs w:val="18"/>
        </w:rPr>
        <w:t xml:space="preserve">(1), 22-33. </w:t>
      </w:r>
      <w:proofErr w:type="spellStart"/>
      <w:r w:rsidRPr="00C74811">
        <w:rPr>
          <w:color w:val="1A1A1A"/>
          <w:sz w:val="18"/>
          <w:szCs w:val="18"/>
        </w:rPr>
        <w:t>doi</w:t>
      </w:r>
      <w:proofErr w:type="spellEnd"/>
      <w:r w:rsidRPr="00C74811">
        <w:rPr>
          <w:color w:val="1A1A1A"/>
          <w:sz w:val="18"/>
          <w:szCs w:val="18"/>
        </w:rPr>
        <w:t xml:space="preserve">: </w:t>
      </w:r>
      <w:r w:rsidRPr="00C74811">
        <w:rPr>
          <w:sz w:val="18"/>
          <w:szCs w:val="18"/>
        </w:rPr>
        <w:t>10.1080/00049670.2012.10722299.</w:t>
      </w:r>
    </w:p>
    <w:p w14:paraId="14CFD97B" w14:textId="77777777" w:rsidR="005233C6" w:rsidRPr="00A25F7B" w:rsidRDefault="005233C6" w:rsidP="0021328A">
      <w:pPr>
        <w:widowControl w:val="0"/>
        <w:autoSpaceDE w:val="0"/>
        <w:autoSpaceDN w:val="0"/>
        <w:adjustRightInd w:val="0"/>
        <w:ind w:left="144" w:hanging="144"/>
        <w:rPr>
          <w:sz w:val="18"/>
          <w:szCs w:val="18"/>
        </w:rPr>
      </w:pPr>
      <w:r w:rsidRPr="00A25F7B">
        <w:rPr>
          <w:sz w:val="18"/>
          <w:szCs w:val="18"/>
        </w:rPr>
        <w:t xml:space="preserve">Grant, R. M. (1991). The resource-based theory of competitive advantage: Implications for strategy formulation. </w:t>
      </w:r>
      <w:r w:rsidRPr="00A25F7B">
        <w:rPr>
          <w:i/>
          <w:sz w:val="18"/>
          <w:szCs w:val="18"/>
        </w:rPr>
        <w:t>California Management Review, 33</w:t>
      </w:r>
      <w:r w:rsidRPr="00A25F7B">
        <w:rPr>
          <w:sz w:val="18"/>
          <w:szCs w:val="18"/>
        </w:rPr>
        <w:t>(3), 14-35.</w:t>
      </w:r>
    </w:p>
    <w:p w14:paraId="3BEE060E" w14:textId="77777777" w:rsidR="006B1737" w:rsidRPr="006B1737" w:rsidRDefault="006B1737" w:rsidP="0021328A">
      <w:pPr>
        <w:widowControl w:val="0"/>
        <w:autoSpaceDE w:val="0"/>
        <w:autoSpaceDN w:val="0"/>
        <w:adjustRightInd w:val="0"/>
        <w:ind w:left="144" w:hanging="144"/>
        <w:rPr>
          <w:sz w:val="18"/>
          <w:szCs w:val="18"/>
        </w:rPr>
      </w:pPr>
      <w:proofErr w:type="spellStart"/>
      <w:r w:rsidRPr="006B1737">
        <w:rPr>
          <w:color w:val="1A1A1A"/>
          <w:sz w:val="18"/>
          <w:szCs w:val="18"/>
        </w:rPr>
        <w:t>Griffis</w:t>
      </w:r>
      <w:proofErr w:type="spellEnd"/>
      <w:r w:rsidRPr="006B1737">
        <w:rPr>
          <w:color w:val="1A1A1A"/>
          <w:sz w:val="18"/>
          <w:szCs w:val="18"/>
        </w:rPr>
        <w:t xml:space="preserve">, M. R., &amp; Johnson, C. A. (2014). Social capital and inclusion in rural public libraries: A qualitative approach. </w:t>
      </w:r>
      <w:r w:rsidRPr="006B1737">
        <w:rPr>
          <w:i/>
          <w:iCs/>
          <w:color w:val="1A1A1A"/>
          <w:sz w:val="18"/>
          <w:szCs w:val="18"/>
        </w:rPr>
        <w:t>Journal of Librarianship and Information Science</w:t>
      </w:r>
      <w:r w:rsidRPr="006B1737">
        <w:rPr>
          <w:color w:val="1A1A1A"/>
          <w:sz w:val="18"/>
          <w:szCs w:val="18"/>
        </w:rPr>
        <w:t xml:space="preserve">, 46(2), 96-109. </w:t>
      </w:r>
      <w:proofErr w:type="spellStart"/>
      <w:r w:rsidRPr="006B1737">
        <w:rPr>
          <w:color w:val="1A1A1A"/>
          <w:sz w:val="18"/>
          <w:szCs w:val="18"/>
        </w:rPr>
        <w:t>doi</w:t>
      </w:r>
      <w:proofErr w:type="spellEnd"/>
      <w:r w:rsidRPr="006B1737">
        <w:rPr>
          <w:color w:val="1A1A1A"/>
          <w:sz w:val="18"/>
          <w:szCs w:val="18"/>
        </w:rPr>
        <w:t xml:space="preserve">: </w:t>
      </w:r>
      <w:r w:rsidRPr="006B1737">
        <w:rPr>
          <w:bCs/>
          <w:color w:val="272609"/>
          <w:sz w:val="18"/>
          <w:szCs w:val="18"/>
        </w:rPr>
        <w:t>10.1177/0961000612470277.</w:t>
      </w:r>
    </w:p>
    <w:p w14:paraId="04D6F12B" w14:textId="77777777" w:rsidR="005233C6" w:rsidRPr="00065F9B" w:rsidRDefault="005233C6" w:rsidP="0021328A">
      <w:pPr>
        <w:ind w:left="144" w:hanging="144"/>
        <w:rPr>
          <w:sz w:val="18"/>
          <w:szCs w:val="18"/>
        </w:rPr>
      </w:pPr>
      <w:proofErr w:type="spellStart"/>
      <w:r w:rsidRPr="00065F9B">
        <w:rPr>
          <w:sz w:val="18"/>
          <w:szCs w:val="18"/>
        </w:rPr>
        <w:t>Grzeschik</w:t>
      </w:r>
      <w:proofErr w:type="spellEnd"/>
      <w:r w:rsidRPr="00065F9B">
        <w:rPr>
          <w:sz w:val="18"/>
          <w:szCs w:val="18"/>
        </w:rPr>
        <w:t xml:space="preserve">, K. (2010). Return on investment (ROI) in German libraries: The Berlin School of Library and Information Science and the University Library at the Humboldt University, Berlin – a case study. </w:t>
      </w:r>
      <w:r w:rsidRPr="005129D6">
        <w:rPr>
          <w:i/>
          <w:sz w:val="18"/>
          <w:szCs w:val="18"/>
        </w:rPr>
        <w:t>The Bottom Line: Managing Library Finances, 23(</w:t>
      </w:r>
      <w:r w:rsidRPr="00065F9B">
        <w:rPr>
          <w:sz w:val="18"/>
          <w:szCs w:val="18"/>
        </w:rPr>
        <w:t xml:space="preserve">4), 141-201. </w:t>
      </w:r>
      <w:proofErr w:type="spellStart"/>
      <w:r w:rsidRPr="00065F9B">
        <w:rPr>
          <w:sz w:val="18"/>
          <w:szCs w:val="18"/>
        </w:rPr>
        <w:t>doi</w:t>
      </w:r>
      <w:proofErr w:type="spellEnd"/>
      <w:r w:rsidRPr="00065F9B">
        <w:rPr>
          <w:sz w:val="18"/>
          <w:szCs w:val="18"/>
        </w:rPr>
        <w:t>: 10.1108/08880451011104009</w:t>
      </w:r>
      <w:r>
        <w:rPr>
          <w:sz w:val="18"/>
          <w:szCs w:val="18"/>
        </w:rPr>
        <w:t>.</w:t>
      </w:r>
    </w:p>
    <w:p w14:paraId="44EEBBEA" w14:textId="77777777" w:rsidR="005233C6" w:rsidRPr="00065F9B" w:rsidRDefault="005233C6" w:rsidP="0021328A">
      <w:pPr>
        <w:widowControl w:val="0"/>
        <w:autoSpaceDE w:val="0"/>
        <w:autoSpaceDN w:val="0"/>
        <w:adjustRightInd w:val="0"/>
        <w:ind w:left="144" w:hanging="144"/>
        <w:rPr>
          <w:sz w:val="18"/>
          <w:szCs w:val="18"/>
        </w:rPr>
      </w:pPr>
      <w:proofErr w:type="spellStart"/>
      <w:r w:rsidRPr="00065F9B">
        <w:rPr>
          <w:sz w:val="18"/>
          <w:szCs w:val="18"/>
        </w:rPr>
        <w:t>Hammes</w:t>
      </w:r>
      <w:proofErr w:type="spellEnd"/>
      <w:r w:rsidRPr="00065F9B">
        <w:rPr>
          <w:sz w:val="18"/>
          <w:szCs w:val="18"/>
        </w:rPr>
        <w:t xml:space="preserve">, M. (2010). Third generation Balanced Scorecards for libraries: From measuring instrument to core strategic management tool. In M. Graham, &amp; S. Thornton (Eds.), </w:t>
      </w:r>
      <w:r w:rsidRPr="00065F9B">
        <w:rPr>
          <w:i/>
          <w:color w:val="343434"/>
          <w:sz w:val="18"/>
          <w:szCs w:val="18"/>
        </w:rPr>
        <w:t xml:space="preserve">Proceedings of the 8th </w:t>
      </w:r>
      <w:proofErr w:type="spellStart"/>
      <w:r w:rsidRPr="00065F9B">
        <w:rPr>
          <w:i/>
          <w:color w:val="343434"/>
          <w:sz w:val="18"/>
          <w:szCs w:val="18"/>
        </w:rPr>
        <w:t>Northumbria</w:t>
      </w:r>
      <w:proofErr w:type="spellEnd"/>
      <w:r w:rsidRPr="00065F9B">
        <w:rPr>
          <w:i/>
          <w:color w:val="343434"/>
          <w:sz w:val="18"/>
          <w:szCs w:val="18"/>
        </w:rPr>
        <w:t xml:space="preserve"> International Conference on Performance Measurement in Libraries and Information Services, Florence, Italy, 17-20 August 2009 </w:t>
      </w:r>
      <w:r w:rsidRPr="00065F9B">
        <w:rPr>
          <w:color w:val="343434"/>
          <w:sz w:val="18"/>
          <w:szCs w:val="18"/>
        </w:rPr>
        <w:t>(pp. 43-53)</w:t>
      </w:r>
      <w:r w:rsidRPr="00065F9B">
        <w:rPr>
          <w:i/>
          <w:color w:val="343434"/>
          <w:sz w:val="18"/>
          <w:szCs w:val="18"/>
        </w:rPr>
        <w:t xml:space="preserve">. </w:t>
      </w:r>
      <w:r w:rsidRPr="00065F9B">
        <w:rPr>
          <w:color w:val="343434"/>
          <w:sz w:val="18"/>
          <w:szCs w:val="18"/>
        </w:rPr>
        <w:t xml:space="preserve">Newcastle upon Tyne, UK: </w:t>
      </w:r>
      <w:proofErr w:type="spellStart"/>
      <w:r w:rsidRPr="00065F9B">
        <w:rPr>
          <w:color w:val="343434"/>
          <w:sz w:val="18"/>
          <w:szCs w:val="18"/>
        </w:rPr>
        <w:t>Northumbria</w:t>
      </w:r>
      <w:proofErr w:type="spellEnd"/>
      <w:r w:rsidRPr="00065F9B">
        <w:rPr>
          <w:color w:val="343434"/>
          <w:sz w:val="18"/>
          <w:szCs w:val="18"/>
        </w:rPr>
        <w:t xml:space="preserve"> University Press. </w:t>
      </w:r>
    </w:p>
    <w:p w14:paraId="5B34DCC0" w14:textId="77777777" w:rsidR="00DF6D3C" w:rsidRDefault="00DF6D3C" w:rsidP="0021328A">
      <w:pPr>
        <w:widowControl w:val="0"/>
        <w:autoSpaceDE w:val="0"/>
        <w:autoSpaceDN w:val="0"/>
        <w:adjustRightInd w:val="0"/>
        <w:ind w:left="144" w:hanging="144"/>
        <w:rPr>
          <w:sz w:val="18"/>
          <w:szCs w:val="18"/>
        </w:rPr>
      </w:pPr>
      <w:proofErr w:type="spellStart"/>
      <w:r w:rsidRPr="004142B9">
        <w:rPr>
          <w:sz w:val="18"/>
          <w:szCs w:val="18"/>
        </w:rPr>
        <w:t>Hasman</w:t>
      </w:r>
      <w:proofErr w:type="spellEnd"/>
      <w:r w:rsidRPr="004142B9">
        <w:rPr>
          <w:sz w:val="18"/>
          <w:szCs w:val="18"/>
        </w:rPr>
        <w:t xml:space="preserve">, L., Berryman, D., &amp; McIntosh, S. (2013). NLM </w:t>
      </w:r>
      <w:proofErr w:type="spellStart"/>
      <w:r w:rsidRPr="004142B9">
        <w:rPr>
          <w:sz w:val="18"/>
          <w:szCs w:val="18"/>
        </w:rPr>
        <w:t>informationist</w:t>
      </w:r>
      <w:proofErr w:type="spellEnd"/>
      <w:r w:rsidRPr="004142B9">
        <w:rPr>
          <w:sz w:val="18"/>
          <w:szCs w:val="18"/>
        </w:rPr>
        <w:t xml:space="preserve"> grant – Web assisted tobacco intervention for community college students. </w:t>
      </w:r>
      <w:r w:rsidRPr="004142B9">
        <w:rPr>
          <w:i/>
          <w:sz w:val="18"/>
          <w:szCs w:val="18"/>
        </w:rPr>
        <w:t xml:space="preserve">Journal of </w:t>
      </w:r>
      <w:proofErr w:type="spellStart"/>
      <w:r w:rsidRPr="004142B9">
        <w:rPr>
          <w:i/>
          <w:sz w:val="18"/>
          <w:szCs w:val="18"/>
        </w:rPr>
        <w:t>eScience</w:t>
      </w:r>
      <w:proofErr w:type="spellEnd"/>
      <w:r w:rsidRPr="004142B9">
        <w:rPr>
          <w:i/>
          <w:sz w:val="18"/>
          <w:szCs w:val="18"/>
        </w:rPr>
        <w:t xml:space="preserve"> Librarianship, 2</w:t>
      </w:r>
      <w:r w:rsidRPr="004142B9">
        <w:rPr>
          <w:sz w:val="18"/>
          <w:szCs w:val="18"/>
        </w:rPr>
        <w:t xml:space="preserve">(1), 30-34. </w:t>
      </w:r>
      <w:proofErr w:type="spellStart"/>
      <w:r w:rsidRPr="004142B9">
        <w:rPr>
          <w:sz w:val="18"/>
          <w:szCs w:val="18"/>
        </w:rPr>
        <w:t>doi</w:t>
      </w:r>
      <w:proofErr w:type="spellEnd"/>
      <w:r w:rsidRPr="004142B9">
        <w:rPr>
          <w:sz w:val="18"/>
          <w:szCs w:val="18"/>
        </w:rPr>
        <w:t xml:space="preserve">: 10.7191/jeslib.2013.1034. Retrieved May 25, 2014, from </w:t>
      </w:r>
      <w:hyperlink r:id="rId28" w:history="1">
        <w:r w:rsidRPr="004142B9">
          <w:rPr>
            <w:rStyle w:val="Hyperlink"/>
            <w:sz w:val="18"/>
            <w:szCs w:val="18"/>
          </w:rPr>
          <w:t>http://escholarship.umassmed.edu/jeslib/vol2/iss1/8/</w:t>
        </w:r>
      </w:hyperlink>
      <w:r w:rsidRPr="004142B9">
        <w:rPr>
          <w:sz w:val="18"/>
          <w:szCs w:val="18"/>
        </w:rPr>
        <w:t>.</w:t>
      </w:r>
    </w:p>
    <w:p w14:paraId="50A248A6" w14:textId="77777777" w:rsidR="005233C6" w:rsidRPr="00065F9B" w:rsidRDefault="005233C6" w:rsidP="0021328A">
      <w:pPr>
        <w:widowControl w:val="0"/>
        <w:autoSpaceDE w:val="0"/>
        <w:autoSpaceDN w:val="0"/>
        <w:adjustRightInd w:val="0"/>
        <w:ind w:left="144" w:hanging="144"/>
        <w:rPr>
          <w:rFonts w:eastAsia="Cambria"/>
          <w:bCs/>
          <w:sz w:val="18"/>
          <w:szCs w:val="18"/>
        </w:rPr>
      </w:pPr>
      <w:proofErr w:type="spellStart"/>
      <w:r w:rsidRPr="00065F9B">
        <w:rPr>
          <w:rFonts w:eastAsia="Cambria"/>
          <w:sz w:val="18"/>
          <w:szCs w:val="18"/>
        </w:rPr>
        <w:t>Hendriks</w:t>
      </w:r>
      <w:proofErr w:type="spellEnd"/>
      <w:r w:rsidRPr="00065F9B">
        <w:rPr>
          <w:rFonts w:eastAsia="Cambria"/>
          <w:sz w:val="18"/>
          <w:szCs w:val="18"/>
        </w:rPr>
        <w:t xml:space="preserve">, B., &amp; </w:t>
      </w:r>
      <w:proofErr w:type="spellStart"/>
      <w:r w:rsidRPr="00065F9B">
        <w:rPr>
          <w:rFonts w:eastAsia="Cambria"/>
          <w:sz w:val="18"/>
          <w:szCs w:val="18"/>
        </w:rPr>
        <w:t>Wooler</w:t>
      </w:r>
      <w:proofErr w:type="spellEnd"/>
      <w:r w:rsidRPr="00065F9B">
        <w:rPr>
          <w:rFonts w:eastAsia="Cambria"/>
          <w:sz w:val="18"/>
          <w:szCs w:val="18"/>
        </w:rPr>
        <w:t xml:space="preserve">, I. (2006). </w:t>
      </w:r>
      <w:r w:rsidRPr="00065F9B">
        <w:rPr>
          <w:rFonts w:eastAsia="Cambria"/>
          <w:bCs/>
          <w:sz w:val="18"/>
          <w:szCs w:val="18"/>
        </w:rPr>
        <w:t xml:space="preserve">Establishing the return on investment for information and knowledge services: A practical approach to show added value for information and knowledge </w:t>
      </w:r>
      <w:proofErr w:type="spellStart"/>
      <w:r w:rsidRPr="00065F9B">
        <w:rPr>
          <w:rFonts w:eastAsia="Cambria"/>
          <w:bCs/>
          <w:sz w:val="18"/>
          <w:szCs w:val="18"/>
        </w:rPr>
        <w:t>centres</w:t>
      </w:r>
      <w:proofErr w:type="spellEnd"/>
      <w:r w:rsidRPr="00065F9B">
        <w:rPr>
          <w:rFonts w:eastAsia="Cambria"/>
          <w:bCs/>
          <w:sz w:val="18"/>
          <w:szCs w:val="18"/>
        </w:rPr>
        <w:t xml:space="preserve">, corporate libraries and documentation </w:t>
      </w:r>
      <w:proofErr w:type="spellStart"/>
      <w:r w:rsidRPr="00065F9B">
        <w:rPr>
          <w:rFonts w:eastAsia="Cambria"/>
          <w:bCs/>
          <w:sz w:val="18"/>
          <w:szCs w:val="18"/>
        </w:rPr>
        <w:t>centres</w:t>
      </w:r>
      <w:proofErr w:type="spellEnd"/>
      <w:r w:rsidRPr="00065F9B">
        <w:rPr>
          <w:rFonts w:eastAsia="Cambria"/>
          <w:bCs/>
          <w:sz w:val="18"/>
          <w:szCs w:val="18"/>
        </w:rPr>
        <w:t xml:space="preserve">. </w:t>
      </w:r>
      <w:r w:rsidRPr="00065F9B">
        <w:rPr>
          <w:rFonts w:eastAsia="Cambria"/>
          <w:bCs/>
          <w:i/>
          <w:sz w:val="18"/>
          <w:szCs w:val="18"/>
        </w:rPr>
        <w:t xml:space="preserve">Business Information Review, </w:t>
      </w:r>
      <w:r w:rsidRPr="00065F9B">
        <w:rPr>
          <w:rFonts w:eastAsia="Cambria"/>
          <w:i/>
          <w:sz w:val="18"/>
          <w:szCs w:val="18"/>
        </w:rPr>
        <w:t>23</w:t>
      </w:r>
      <w:r w:rsidRPr="00065F9B">
        <w:rPr>
          <w:rFonts w:eastAsia="Cambria"/>
          <w:sz w:val="18"/>
          <w:szCs w:val="18"/>
        </w:rPr>
        <w:t>(1), 13-25.</w:t>
      </w:r>
      <w:r w:rsidRPr="00065F9B">
        <w:rPr>
          <w:rFonts w:eastAsia="Cambria"/>
          <w:bCs/>
          <w:sz w:val="18"/>
          <w:szCs w:val="18"/>
        </w:rPr>
        <w:t xml:space="preserve"> </w:t>
      </w:r>
      <w:proofErr w:type="spellStart"/>
      <w:r w:rsidRPr="00065F9B">
        <w:rPr>
          <w:rFonts w:eastAsia="Cambria"/>
          <w:bCs/>
          <w:sz w:val="18"/>
          <w:szCs w:val="18"/>
        </w:rPr>
        <w:t>doi</w:t>
      </w:r>
      <w:proofErr w:type="spellEnd"/>
      <w:r w:rsidRPr="00065F9B">
        <w:rPr>
          <w:rFonts w:eastAsia="Cambria"/>
          <w:bCs/>
          <w:sz w:val="18"/>
          <w:szCs w:val="18"/>
        </w:rPr>
        <w:t xml:space="preserve">: </w:t>
      </w:r>
      <w:r w:rsidRPr="00065F9B">
        <w:rPr>
          <w:sz w:val="18"/>
          <w:szCs w:val="18"/>
        </w:rPr>
        <w:t>10.1177/0266382106063063</w:t>
      </w:r>
      <w:r>
        <w:rPr>
          <w:sz w:val="18"/>
          <w:szCs w:val="18"/>
        </w:rPr>
        <w:t>.</w:t>
      </w:r>
    </w:p>
    <w:p w14:paraId="7CC9F985" w14:textId="77777777" w:rsidR="005233C6" w:rsidRPr="00065F9B" w:rsidRDefault="005233C6" w:rsidP="0021328A">
      <w:pPr>
        <w:ind w:left="144" w:hanging="144"/>
        <w:rPr>
          <w:sz w:val="18"/>
          <w:szCs w:val="18"/>
        </w:rPr>
      </w:pPr>
      <w:r w:rsidRPr="00065F9B">
        <w:rPr>
          <w:sz w:val="18"/>
          <w:szCs w:val="18"/>
        </w:rPr>
        <w:t xml:space="preserve">Hider, P. (2008). </w:t>
      </w:r>
      <w:r w:rsidRPr="00065F9B">
        <w:rPr>
          <w:color w:val="242424"/>
          <w:sz w:val="18"/>
          <w:szCs w:val="18"/>
        </w:rPr>
        <w:t>Using the contingent valuation method for dollar valuations of library services.</w:t>
      </w:r>
      <w:r w:rsidRPr="00065F9B">
        <w:rPr>
          <w:sz w:val="18"/>
          <w:szCs w:val="18"/>
        </w:rPr>
        <w:t xml:space="preserve"> </w:t>
      </w:r>
      <w:r w:rsidRPr="00065F9B">
        <w:rPr>
          <w:i/>
          <w:sz w:val="18"/>
          <w:szCs w:val="18"/>
        </w:rPr>
        <w:t>Library Quarterly, 78</w:t>
      </w:r>
      <w:r w:rsidRPr="00065F9B">
        <w:rPr>
          <w:sz w:val="18"/>
          <w:szCs w:val="18"/>
        </w:rPr>
        <w:t xml:space="preserve">(4), 437-458. </w:t>
      </w:r>
      <w:proofErr w:type="spellStart"/>
      <w:r w:rsidRPr="00065F9B">
        <w:rPr>
          <w:sz w:val="18"/>
          <w:szCs w:val="18"/>
        </w:rPr>
        <w:t>doi</w:t>
      </w:r>
      <w:proofErr w:type="spellEnd"/>
      <w:r w:rsidRPr="00065F9B">
        <w:rPr>
          <w:sz w:val="18"/>
          <w:szCs w:val="18"/>
        </w:rPr>
        <w:t>: 10.1086/591180</w:t>
      </w:r>
      <w:r>
        <w:rPr>
          <w:sz w:val="18"/>
          <w:szCs w:val="18"/>
        </w:rPr>
        <w:t>.</w:t>
      </w:r>
    </w:p>
    <w:p w14:paraId="6B764EC3" w14:textId="77777777" w:rsidR="005233C6" w:rsidRPr="00065F9B" w:rsidRDefault="005233C6" w:rsidP="0021328A">
      <w:pPr>
        <w:widowControl w:val="0"/>
        <w:autoSpaceDE w:val="0"/>
        <w:autoSpaceDN w:val="0"/>
        <w:adjustRightInd w:val="0"/>
        <w:ind w:left="144" w:hanging="144"/>
        <w:rPr>
          <w:sz w:val="18"/>
          <w:szCs w:val="18"/>
        </w:rPr>
      </w:pPr>
      <w:proofErr w:type="spellStart"/>
      <w:r w:rsidRPr="00065F9B">
        <w:rPr>
          <w:sz w:val="18"/>
          <w:szCs w:val="18"/>
        </w:rPr>
        <w:t>Huotari</w:t>
      </w:r>
      <w:proofErr w:type="spellEnd"/>
      <w:r w:rsidRPr="00065F9B">
        <w:rPr>
          <w:sz w:val="18"/>
          <w:szCs w:val="18"/>
        </w:rPr>
        <w:t xml:space="preserve">, M.-L., &amp; </w:t>
      </w:r>
      <w:proofErr w:type="spellStart"/>
      <w:r w:rsidRPr="00065F9B">
        <w:rPr>
          <w:sz w:val="18"/>
          <w:szCs w:val="18"/>
        </w:rPr>
        <w:t>Iivonen</w:t>
      </w:r>
      <w:proofErr w:type="spellEnd"/>
      <w:r w:rsidRPr="00065F9B">
        <w:rPr>
          <w:sz w:val="18"/>
          <w:szCs w:val="18"/>
        </w:rPr>
        <w:t xml:space="preserve">, M. (2005). Knowledge processes: A strategic foundation for the partnership between the university and its library. </w:t>
      </w:r>
      <w:r w:rsidRPr="00065F9B">
        <w:rPr>
          <w:i/>
          <w:sz w:val="18"/>
          <w:szCs w:val="18"/>
        </w:rPr>
        <w:t>Library Management, 26</w:t>
      </w:r>
      <w:r w:rsidRPr="00065F9B">
        <w:rPr>
          <w:sz w:val="18"/>
          <w:szCs w:val="18"/>
        </w:rPr>
        <w:t xml:space="preserve">(6/7), 324-335. </w:t>
      </w:r>
      <w:proofErr w:type="spellStart"/>
      <w:r w:rsidRPr="00065F9B">
        <w:rPr>
          <w:sz w:val="18"/>
          <w:szCs w:val="18"/>
        </w:rPr>
        <w:t>doi</w:t>
      </w:r>
      <w:proofErr w:type="spellEnd"/>
      <w:r w:rsidRPr="00065F9B">
        <w:rPr>
          <w:sz w:val="18"/>
          <w:szCs w:val="18"/>
        </w:rPr>
        <w:t>: 10.1108/01435120410609743</w:t>
      </w:r>
      <w:r>
        <w:rPr>
          <w:sz w:val="18"/>
          <w:szCs w:val="18"/>
        </w:rPr>
        <w:t>.</w:t>
      </w:r>
    </w:p>
    <w:p w14:paraId="34B87AF6" w14:textId="77777777" w:rsidR="005233C6" w:rsidRPr="00065F9B" w:rsidRDefault="005233C6" w:rsidP="0021328A">
      <w:pPr>
        <w:ind w:left="144" w:hanging="144"/>
        <w:rPr>
          <w:sz w:val="18"/>
          <w:szCs w:val="18"/>
        </w:rPr>
      </w:pPr>
      <w:proofErr w:type="spellStart"/>
      <w:r w:rsidRPr="00065F9B">
        <w:rPr>
          <w:sz w:val="18"/>
          <w:szCs w:val="18"/>
        </w:rPr>
        <w:t>Iivonen</w:t>
      </w:r>
      <w:proofErr w:type="spellEnd"/>
      <w:r w:rsidRPr="00065F9B">
        <w:rPr>
          <w:sz w:val="18"/>
          <w:szCs w:val="18"/>
        </w:rPr>
        <w:t xml:space="preserve">, M., &amp; </w:t>
      </w:r>
      <w:proofErr w:type="spellStart"/>
      <w:r w:rsidRPr="00065F9B">
        <w:rPr>
          <w:sz w:val="18"/>
          <w:szCs w:val="18"/>
        </w:rPr>
        <w:t>Huotari</w:t>
      </w:r>
      <w:proofErr w:type="spellEnd"/>
      <w:r w:rsidRPr="00065F9B">
        <w:rPr>
          <w:sz w:val="18"/>
          <w:szCs w:val="18"/>
        </w:rPr>
        <w:t xml:space="preserve">, M.-L. (2007). The university library’s intellectual capital. </w:t>
      </w:r>
      <w:r w:rsidRPr="00065F9B">
        <w:rPr>
          <w:i/>
          <w:sz w:val="18"/>
          <w:szCs w:val="18"/>
        </w:rPr>
        <w:t xml:space="preserve">Advances in Library Administration and Organization, 25, </w:t>
      </w:r>
      <w:r w:rsidRPr="00065F9B">
        <w:rPr>
          <w:sz w:val="18"/>
          <w:szCs w:val="18"/>
        </w:rPr>
        <w:t xml:space="preserve">83-96. </w:t>
      </w:r>
      <w:proofErr w:type="spellStart"/>
      <w:r w:rsidRPr="00065F9B">
        <w:rPr>
          <w:sz w:val="18"/>
          <w:szCs w:val="18"/>
        </w:rPr>
        <w:t>doi</w:t>
      </w:r>
      <w:proofErr w:type="spellEnd"/>
      <w:r w:rsidRPr="00065F9B">
        <w:rPr>
          <w:sz w:val="18"/>
          <w:szCs w:val="18"/>
        </w:rPr>
        <w:t>: 10.1016/S0732-0671(07)25004-7</w:t>
      </w:r>
      <w:r>
        <w:rPr>
          <w:sz w:val="18"/>
          <w:szCs w:val="18"/>
        </w:rPr>
        <w:t>.</w:t>
      </w:r>
    </w:p>
    <w:p w14:paraId="1439EB37" w14:textId="5977D11C" w:rsidR="00AE49DF" w:rsidRPr="00AE49DF" w:rsidRDefault="00AE49DF" w:rsidP="0021328A">
      <w:pPr>
        <w:ind w:left="144" w:hanging="144"/>
        <w:rPr>
          <w:sz w:val="18"/>
          <w:szCs w:val="18"/>
        </w:rPr>
      </w:pPr>
      <w:proofErr w:type="spellStart"/>
      <w:r w:rsidRPr="00AE49DF">
        <w:rPr>
          <w:sz w:val="18"/>
          <w:szCs w:val="18"/>
        </w:rPr>
        <w:t>Jaguszewski</w:t>
      </w:r>
      <w:proofErr w:type="spellEnd"/>
      <w:r w:rsidRPr="00AE49DF">
        <w:rPr>
          <w:sz w:val="18"/>
          <w:szCs w:val="18"/>
        </w:rPr>
        <w:t xml:space="preserve">, J. M., &amp; Williams, K. (2013). </w:t>
      </w:r>
      <w:r w:rsidRPr="00AE49DF">
        <w:rPr>
          <w:i/>
          <w:sz w:val="18"/>
          <w:szCs w:val="18"/>
        </w:rPr>
        <w:t xml:space="preserve">New roles for new times: Transforming liaison roles in research libraries. </w:t>
      </w:r>
      <w:r w:rsidRPr="00AE49DF">
        <w:rPr>
          <w:sz w:val="18"/>
          <w:szCs w:val="18"/>
        </w:rPr>
        <w:t xml:space="preserve">Washington, DC: Association of Research Libraries. Retrieved </w:t>
      </w:r>
      <w:r>
        <w:rPr>
          <w:sz w:val="18"/>
          <w:szCs w:val="18"/>
        </w:rPr>
        <w:t>May 25</w:t>
      </w:r>
      <w:r w:rsidRPr="00AE49DF">
        <w:rPr>
          <w:sz w:val="18"/>
          <w:szCs w:val="18"/>
        </w:rPr>
        <w:t xml:space="preserve">, 2014, from </w:t>
      </w:r>
      <w:hyperlink r:id="rId29" w:history="1">
        <w:r w:rsidRPr="00AE49DF">
          <w:rPr>
            <w:rStyle w:val="Hyperlink"/>
            <w:sz w:val="18"/>
            <w:szCs w:val="18"/>
          </w:rPr>
          <w:t>http://www.arl.org/storage/documents/publications/NRNT-Liaison-Roles-final.pdf</w:t>
        </w:r>
      </w:hyperlink>
      <w:r w:rsidRPr="00AE49DF">
        <w:rPr>
          <w:sz w:val="18"/>
          <w:szCs w:val="18"/>
        </w:rPr>
        <w:t>.</w:t>
      </w:r>
    </w:p>
    <w:p w14:paraId="7AD900AE" w14:textId="77777777" w:rsidR="005233C6" w:rsidRPr="00CC3314" w:rsidRDefault="005233C6" w:rsidP="0021328A">
      <w:pPr>
        <w:ind w:left="144" w:hanging="144"/>
        <w:rPr>
          <w:bCs/>
          <w:color w:val="000000"/>
          <w:sz w:val="18"/>
          <w:szCs w:val="18"/>
        </w:rPr>
      </w:pPr>
      <w:proofErr w:type="spellStart"/>
      <w:r w:rsidRPr="00065F9B">
        <w:rPr>
          <w:sz w:val="18"/>
          <w:szCs w:val="18"/>
        </w:rPr>
        <w:t>Kachoka</w:t>
      </w:r>
      <w:proofErr w:type="spellEnd"/>
      <w:r w:rsidRPr="00065F9B">
        <w:rPr>
          <w:sz w:val="18"/>
          <w:szCs w:val="18"/>
        </w:rPr>
        <w:t xml:space="preserve">, N., &amp; Hoskins, R. (2009). </w:t>
      </w:r>
      <w:r w:rsidRPr="00065F9B">
        <w:rPr>
          <w:bCs/>
          <w:color w:val="000000"/>
          <w:sz w:val="18"/>
          <w:szCs w:val="18"/>
        </w:rPr>
        <w:t xml:space="preserve">Measuring the quality of service: A case of Chancellor College Library, University of Malawi. </w:t>
      </w:r>
      <w:r w:rsidRPr="00065F9B">
        <w:rPr>
          <w:bCs/>
          <w:i/>
          <w:color w:val="000000"/>
          <w:sz w:val="18"/>
          <w:szCs w:val="18"/>
        </w:rPr>
        <w:t>South African Journal of Libraries and Information Science, 75</w:t>
      </w:r>
      <w:r w:rsidRPr="00065F9B">
        <w:rPr>
          <w:bCs/>
          <w:color w:val="000000"/>
          <w:sz w:val="18"/>
          <w:szCs w:val="18"/>
        </w:rPr>
        <w:t xml:space="preserve">(2), 170-178. Retrieved May 25, 2014, from </w:t>
      </w:r>
      <w:hyperlink r:id="rId30" w:history="1">
        <w:r w:rsidRPr="00065F9B">
          <w:rPr>
            <w:rStyle w:val="Hyperlink"/>
            <w:bCs/>
            <w:sz w:val="18"/>
            <w:szCs w:val="18"/>
          </w:rPr>
          <w:t>http://sajlis.journals.ac.za/pub/article/view/97/88</w:t>
        </w:r>
      </w:hyperlink>
      <w:r>
        <w:rPr>
          <w:sz w:val="18"/>
          <w:szCs w:val="18"/>
        </w:rPr>
        <w:t>.</w:t>
      </w:r>
    </w:p>
    <w:p w14:paraId="6E595D10" w14:textId="77777777" w:rsidR="005233C6" w:rsidRPr="00065F9B" w:rsidRDefault="005233C6" w:rsidP="0021328A">
      <w:pPr>
        <w:widowControl w:val="0"/>
        <w:autoSpaceDE w:val="0"/>
        <w:autoSpaceDN w:val="0"/>
        <w:adjustRightInd w:val="0"/>
        <w:ind w:left="144" w:hanging="144"/>
        <w:rPr>
          <w:sz w:val="18"/>
          <w:szCs w:val="18"/>
        </w:rPr>
      </w:pPr>
      <w:r w:rsidRPr="00065F9B">
        <w:rPr>
          <w:sz w:val="18"/>
          <w:szCs w:val="18"/>
        </w:rPr>
        <w:t xml:space="preserve">Kaplan, R. S., &amp; Norton, D. P. (1992). The balanced scorecard: Measures that drive performance. </w:t>
      </w:r>
      <w:r w:rsidRPr="00065F9B">
        <w:rPr>
          <w:i/>
          <w:iCs/>
          <w:sz w:val="18"/>
          <w:szCs w:val="18"/>
        </w:rPr>
        <w:t xml:space="preserve">Harvard Business Review, </w:t>
      </w:r>
      <w:r w:rsidRPr="00065F9B">
        <w:rPr>
          <w:i/>
          <w:sz w:val="18"/>
          <w:szCs w:val="18"/>
        </w:rPr>
        <w:t>70</w:t>
      </w:r>
      <w:r w:rsidRPr="00065F9B">
        <w:rPr>
          <w:sz w:val="18"/>
          <w:szCs w:val="18"/>
        </w:rPr>
        <w:t>(1), 71-79.</w:t>
      </w:r>
    </w:p>
    <w:p w14:paraId="75542293" w14:textId="77777777" w:rsidR="005233C6" w:rsidRPr="00065F9B" w:rsidRDefault="005233C6" w:rsidP="0021328A">
      <w:pPr>
        <w:ind w:left="144" w:hanging="144"/>
        <w:rPr>
          <w:sz w:val="18"/>
          <w:szCs w:val="18"/>
        </w:rPr>
      </w:pPr>
      <w:r w:rsidRPr="00065F9B">
        <w:rPr>
          <w:sz w:val="18"/>
          <w:szCs w:val="18"/>
        </w:rPr>
        <w:t xml:space="preserve">Kaplan, R. S. &amp; Norton, D. P. (1996). </w:t>
      </w:r>
      <w:r w:rsidRPr="00065F9B">
        <w:rPr>
          <w:i/>
          <w:iCs/>
          <w:sz w:val="18"/>
          <w:szCs w:val="18"/>
        </w:rPr>
        <w:t>The balanced scorecard: Translating strategy into action.</w:t>
      </w:r>
      <w:r w:rsidRPr="00065F9B">
        <w:rPr>
          <w:sz w:val="18"/>
          <w:szCs w:val="18"/>
        </w:rPr>
        <w:t xml:space="preserve"> Boston, MA: Harvard Business School Press.</w:t>
      </w:r>
    </w:p>
    <w:p w14:paraId="37BF53AB" w14:textId="77777777" w:rsidR="005233C6" w:rsidRPr="00065F9B" w:rsidRDefault="005233C6" w:rsidP="0021328A">
      <w:pPr>
        <w:ind w:left="144" w:hanging="144"/>
        <w:rPr>
          <w:sz w:val="18"/>
          <w:szCs w:val="18"/>
        </w:rPr>
      </w:pPr>
      <w:r w:rsidRPr="00065F9B">
        <w:rPr>
          <w:sz w:val="18"/>
          <w:szCs w:val="18"/>
        </w:rPr>
        <w:t xml:space="preserve">Kaplan, R. S. &amp; Norton, D. P. (2000). Having trouble with your strategy? Then map it! </w:t>
      </w:r>
      <w:r w:rsidRPr="00065F9B">
        <w:rPr>
          <w:i/>
          <w:iCs/>
          <w:sz w:val="18"/>
          <w:szCs w:val="18"/>
        </w:rPr>
        <w:t xml:space="preserve">Harvard Business Review, </w:t>
      </w:r>
      <w:r w:rsidRPr="00065F9B">
        <w:rPr>
          <w:i/>
          <w:sz w:val="18"/>
          <w:szCs w:val="18"/>
        </w:rPr>
        <w:t>78</w:t>
      </w:r>
      <w:r w:rsidRPr="00065F9B">
        <w:rPr>
          <w:sz w:val="18"/>
          <w:szCs w:val="18"/>
        </w:rPr>
        <w:t>(5), 167-176.</w:t>
      </w:r>
    </w:p>
    <w:p w14:paraId="41F9A11C" w14:textId="77777777" w:rsidR="005233C6" w:rsidRPr="00065F9B" w:rsidRDefault="005233C6" w:rsidP="0021328A">
      <w:pPr>
        <w:ind w:left="144" w:hanging="144"/>
        <w:rPr>
          <w:sz w:val="18"/>
          <w:szCs w:val="18"/>
        </w:rPr>
      </w:pPr>
      <w:r w:rsidRPr="00065F9B">
        <w:rPr>
          <w:sz w:val="18"/>
          <w:szCs w:val="18"/>
        </w:rPr>
        <w:t xml:space="preserve">Kaplan, R. S. &amp; Norton, D. P. (2001a). </w:t>
      </w:r>
      <w:r w:rsidRPr="00065F9B">
        <w:rPr>
          <w:i/>
          <w:iCs/>
          <w:sz w:val="18"/>
          <w:szCs w:val="18"/>
        </w:rPr>
        <w:t>The strategy-focused organization: How balanced scorecard companies thrive in the new business environment.</w:t>
      </w:r>
      <w:r w:rsidRPr="00065F9B">
        <w:rPr>
          <w:sz w:val="18"/>
          <w:szCs w:val="18"/>
        </w:rPr>
        <w:t xml:space="preserve"> Boston, MA: Harvard Business School Press.</w:t>
      </w:r>
    </w:p>
    <w:p w14:paraId="20A68EC8" w14:textId="77777777" w:rsidR="005233C6" w:rsidRPr="00420B48" w:rsidRDefault="005233C6" w:rsidP="0021328A">
      <w:pPr>
        <w:widowControl w:val="0"/>
        <w:autoSpaceDE w:val="0"/>
        <w:autoSpaceDN w:val="0"/>
        <w:adjustRightInd w:val="0"/>
        <w:ind w:left="144" w:hanging="144"/>
        <w:rPr>
          <w:sz w:val="18"/>
          <w:szCs w:val="18"/>
        </w:rPr>
      </w:pPr>
      <w:r w:rsidRPr="00065F9B">
        <w:rPr>
          <w:sz w:val="18"/>
          <w:szCs w:val="18"/>
        </w:rPr>
        <w:t xml:space="preserve">Kaplan, R. S., &amp; D. P. Norton (2001b). Transforming the balanced scorecard from performance measurement to strategic </w:t>
      </w:r>
      <w:r w:rsidRPr="00420B48">
        <w:rPr>
          <w:sz w:val="18"/>
          <w:szCs w:val="18"/>
        </w:rPr>
        <w:t xml:space="preserve">management: Part 1. </w:t>
      </w:r>
      <w:r w:rsidRPr="00420B48">
        <w:rPr>
          <w:i/>
          <w:iCs/>
          <w:sz w:val="18"/>
          <w:szCs w:val="18"/>
        </w:rPr>
        <w:t xml:space="preserve">Accounting Horizons, </w:t>
      </w:r>
      <w:r w:rsidRPr="00420B48">
        <w:rPr>
          <w:i/>
          <w:sz w:val="18"/>
          <w:szCs w:val="18"/>
        </w:rPr>
        <w:t>15</w:t>
      </w:r>
      <w:r w:rsidRPr="00420B48">
        <w:rPr>
          <w:sz w:val="18"/>
          <w:szCs w:val="18"/>
        </w:rPr>
        <w:t xml:space="preserve">(1), 87-104. </w:t>
      </w:r>
      <w:proofErr w:type="spellStart"/>
      <w:r w:rsidRPr="00420B48">
        <w:rPr>
          <w:sz w:val="18"/>
          <w:szCs w:val="18"/>
        </w:rPr>
        <w:t>doi</w:t>
      </w:r>
      <w:proofErr w:type="spellEnd"/>
      <w:r w:rsidRPr="00420B48">
        <w:rPr>
          <w:sz w:val="18"/>
          <w:szCs w:val="18"/>
        </w:rPr>
        <w:t>: 10.2308/acch.2001.15.1.87.</w:t>
      </w:r>
    </w:p>
    <w:p w14:paraId="0B348D9C" w14:textId="77777777" w:rsidR="00C47B66" w:rsidRDefault="00C47B66" w:rsidP="0021328A">
      <w:pPr>
        <w:widowControl w:val="0"/>
        <w:autoSpaceDE w:val="0"/>
        <w:autoSpaceDN w:val="0"/>
        <w:adjustRightInd w:val="0"/>
        <w:ind w:left="144" w:hanging="144"/>
        <w:rPr>
          <w:rFonts w:eastAsiaTheme="minorHAnsi"/>
          <w:sz w:val="18"/>
          <w:szCs w:val="18"/>
        </w:rPr>
      </w:pPr>
      <w:proofErr w:type="spellStart"/>
      <w:r w:rsidRPr="00004929">
        <w:rPr>
          <w:sz w:val="18"/>
          <w:szCs w:val="18"/>
        </w:rPr>
        <w:t>Kettunen</w:t>
      </w:r>
      <w:proofErr w:type="spellEnd"/>
      <w:r w:rsidRPr="00004929">
        <w:rPr>
          <w:sz w:val="18"/>
          <w:szCs w:val="18"/>
        </w:rPr>
        <w:t xml:space="preserve">, J. (2007). The strategic evaluation of academic libraries. </w:t>
      </w:r>
      <w:r w:rsidRPr="00004929">
        <w:rPr>
          <w:i/>
          <w:iCs/>
          <w:sz w:val="18"/>
          <w:szCs w:val="18"/>
        </w:rPr>
        <w:t xml:space="preserve">Library Hi Tech, </w:t>
      </w:r>
      <w:r w:rsidRPr="00004929">
        <w:rPr>
          <w:i/>
          <w:sz w:val="18"/>
          <w:szCs w:val="18"/>
        </w:rPr>
        <w:t>25</w:t>
      </w:r>
      <w:r w:rsidRPr="00004929">
        <w:rPr>
          <w:sz w:val="18"/>
          <w:szCs w:val="18"/>
        </w:rPr>
        <w:t xml:space="preserve">(3), 409-421. </w:t>
      </w:r>
      <w:proofErr w:type="spellStart"/>
      <w:r w:rsidRPr="00004929">
        <w:rPr>
          <w:sz w:val="18"/>
          <w:szCs w:val="18"/>
        </w:rPr>
        <w:t>doi</w:t>
      </w:r>
      <w:proofErr w:type="spellEnd"/>
      <w:r w:rsidRPr="00004929">
        <w:rPr>
          <w:sz w:val="18"/>
          <w:szCs w:val="18"/>
        </w:rPr>
        <w:t xml:space="preserve">: </w:t>
      </w:r>
      <w:r w:rsidRPr="00004929">
        <w:rPr>
          <w:rFonts w:eastAsiaTheme="minorHAnsi"/>
          <w:sz w:val="18"/>
          <w:szCs w:val="18"/>
        </w:rPr>
        <w:t>10.1108/07378830710820989.</w:t>
      </w:r>
    </w:p>
    <w:p w14:paraId="15D8EE27" w14:textId="7A2949D9" w:rsidR="00C47B66" w:rsidRPr="00354761" w:rsidRDefault="00C47B66" w:rsidP="0021328A">
      <w:pPr>
        <w:widowControl w:val="0"/>
        <w:autoSpaceDE w:val="0"/>
        <w:autoSpaceDN w:val="0"/>
        <w:adjustRightInd w:val="0"/>
        <w:ind w:left="144" w:hanging="144"/>
        <w:rPr>
          <w:rFonts w:eastAsiaTheme="minorHAnsi"/>
          <w:sz w:val="18"/>
          <w:szCs w:val="18"/>
        </w:rPr>
      </w:pPr>
      <w:r w:rsidRPr="00C47B66">
        <w:rPr>
          <w:rFonts w:eastAsiaTheme="minorHAnsi"/>
          <w:sz w:val="18"/>
          <w:szCs w:val="18"/>
        </w:rPr>
        <w:t>Kim, D. S. (2010).</w:t>
      </w:r>
      <w:r w:rsidRPr="00354761">
        <w:rPr>
          <w:rFonts w:eastAsiaTheme="minorHAnsi"/>
          <w:sz w:val="18"/>
          <w:szCs w:val="18"/>
        </w:rPr>
        <w:t xml:space="preserve"> Using the balanced scorecard for strategic operation</w:t>
      </w:r>
      <w:r>
        <w:rPr>
          <w:rFonts w:eastAsiaTheme="minorHAnsi"/>
          <w:sz w:val="18"/>
          <w:szCs w:val="18"/>
        </w:rPr>
        <w:t xml:space="preserve"> </w:t>
      </w:r>
      <w:r w:rsidRPr="00354761">
        <w:rPr>
          <w:rFonts w:eastAsiaTheme="minorHAnsi"/>
          <w:sz w:val="18"/>
          <w:szCs w:val="18"/>
        </w:rPr>
        <w:t xml:space="preserve">of the cataloging department. </w:t>
      </w:r>
      <w:r w:rsidRPr="00354761">
        <w:rPr>
          <w:rFonts w:eastAsiaTheme="minorHAnsi"/>
          <w:i/>
          <w:sz w:val="18"/>
          <w:szCs w:val="18"/>
        </w:rPr>
        <w:t>Cataloging &amp; Classification Quarterly, 48</w:t>
      </w:r>
      <w:r w:rsidRPr="00354761">
        <w:rPr>
          <w:rFonts w:eastAsiaTheme="minorHAnsi"/>
          <w:sz w:val="18"/>
          <w:szCs w:val="18"/>
        </w:rPr>
        <w:t xml:space="preserve">(6-7), 572-584. </w:t>
      </w:r>
      <w:proofErr w:type="spellStart"/>
      <w:r w:rsidRPr="00354761">
        <w:rPr>
          <w:rFonts w:eastAsiaTheme="minorHAnsi"/>
          <w:sz w:val="18"/>
          <w:szCs w:val="18"/>
        </w:rPr>
        <w:t>doi</w:t>
      </w:r>
      <w:proofErr w:type="spellEnd"/>
      <w:r w:rsidRPr="00354761">
        <w:rPr>
          <w:rFonts w:eastAsiaTheme="minorHAnsi"/>
          <w:sz w:val="18"/>
          <w:szCs w:val="18"/>
        </w:rPr>
        <w:t xml:space="preserve">: </w:t>
      </w:r>
      <w:r>
        <w:rPr>
          <w:rFonts w:eastAsiaTheme="minorHAnsi"/>
          <w:sz w:val="18"/>
          <w:szCs w:val="18"/>
        </w:rPr>
        <w:t>10.1080/01639374.2010.496305.</w:t>
      </w:r>
    </w:p>
    <w:p w14:paraId="31AB2690" w14:textId="77777777" w:rsidR="005233C6" w:rsidRPr="00065F9B" w:rsidRDefault="005233C6" w:rsidP="0021328A">
      <w:pPr>
        <w:ind w:left="144" w:hanging="144"/>
        <w:rPr>
          <w:sz w:val="18"/>
          <w:szCs w:val="18"/>
        </w:rPr>
      </w:pPr>
      <w:proofErr w:type="spellStart"/>
      <w:r w:rsidRPr="00065F9B">
        <w:rPr>
          <w:sz w:val="18"/>
          <w:szCs w:val="18"/>
        </w:rPr>
        <w:t>Ko</w:t>
      </w:r>
      <w:proofErr w:type="spellEnd"/>
      <w:r w:rsidRPr="00065F9B">
        <w:rPr>
          <w:sz w:val="18"/>
          <w:szCs w:val="18"/>
        </w:rPr>
        <w:t xml:space="preserve">, Y. M., Shim, W., </w:t>
      </w:r>
      <w:proofErr w:type="spellStart"/>
      <w:r w:rsidRPr="00065F9B">
        <w:rPr>
          <w:sz w:val="18"/>
          <w:szCs w:val="18"/>
        </w:rPr>
        <w:t>Pyo</w:t>
      </w:r>
      <w:proofErr w:type="spellEnd"/>
      <w:r w:rsidRPr="00065F9B">
        <w:rPr>
          <w:sz w:val="18"/>
          <w:szCs w:val="18"/>
        </w:rPr>
        <w:t xml:space="preserve">, S.-H., &amp; Chang, J. S. (2012). An economic valuation study of public libraries in Korea. </w:t>
      </w:r>
      <w:r w:rsidRPr="00065F9B">
        <w:rPr>
          <w:i/>
          <w:sz w:val="18"/>
          <w:szCs w:val="18"/>
        </w:rPr>
        <w:t>Library &amp; Information Science Research, 34</w:t>
      </w:r>
      <w:r w:rsidRPr="00065F9B">
        <w:rPr>
          <w:sz w:val="18"/>
          <w:szCs w:val="18"/>
        </w:rPr>
        <w:t xml:space="preserve">(2), 117-142. </w:t>
      </w:r>
      <w:proofErr w:type="spellStart"/>
      <w:r w:rsidRPr="00065F9B">
        <w:rPr>
          <w:sz w:val="18"/>
          <w:szCs w:val="18"/>
        </w:rPr>
        <w:t>doi</w:t>
      </w:r>
      <w:proofErr w:type="spellEnd"/>
      <w:r w:rsidRPr="00065F9B">
        <w:rPr>
          <w:sz w:val="18"/>
          <w:szCs w:val="18"/>
        </w:rPr>
        <w:t xml:space="preserve">: </w:t>
      </w:r>
      <w:r w:rsidRPr="00065F9B">
        <w:rPr>
          <w:rFonts w:eastAsia="Arial Unicode MS"/>
          <w:sz w:val="18"/>
          <w:szCs w:val="18"/>
        </w:rPr>
        <w:t>10.1016/j.lisr.2011.11.005</w:t>
      </w:r>
      <w:r>
        <w:rPr>
          <w:rFonts w:eastAsia="Arial Unicode MS"/>
          <w:sz w:val="18"/>
          <w:szCs w:val="18"/>
        </w:rPr>
        <w:t>.</w:t>
      </w:r>
    </w:p>
    <w:p w14:paraId="0DF32095" w14:textId="77777777" w:rsidR="005233C6" w:rsidRPr="00065F9B" w:rsidRDefault="005233C6" w:rsidP="0021328A">
      <w:pPr>
        <w:widowControl w:val="0"/>
        <w:autoSpaceDE w:val="0"/>
        <w:autoSpaceDN w:val="0"/>
        <w:adjustRightInd w:val="0"/>
        <w:ind w:left="144" w:hanging="144"/>
        <w:rPr>
          <w:sz w:val="18"/>
          <w:szCs w:val="18"/>
        </w:rPr>
      </w:pPr>
      <w:r w:rsidRPr="00065F9B">
        <w:rPr>
          <w:sz w:val="18"/>
          <w:szCs w:val="18"/>
        </w:rPr>
        <w:t xml:space="preserve">Koenig, M. E. D. (1997). Intellectual capital and how to leverage it. </w:t>
      </w:r>
      <w:r w:rsidRPr="00065F9B">
        <w:rPr>
          <w:i/>
          <w:sz w:val="18"/>
          <w:szCs w:val="18"/>
        </w:rPr>
        <w:t>The Bottom Line: Managing Library Finance, 10</w:t>
      </w:r>
      <w:r w:rsidRPr="00065F9B">
        <w:rPr>
          <w:sz w:val="18"/>
          <w:szCs w:val="18"/>
        </w:rPr>
        <w:t xml:space="preserve">(3), 112-118. </w:t>
      </w:r>
      <w:proofErr w:type="spellStart"/>
      <w:r w:rsidRPr="00065F9B">
        <w:rPr>
          <w:sz w:val="18"/>
          <w:szCs w:val="18"/>
        </w:rPr>
        <w:t>doi</w:t>
      </w:r>
      <w:proofErr w:type="spellEnd"/>
      <w:r w:rsidRPr="00065F9B">
        <w:rPr>
          <w:sz w:val="18"/>
          <w:szCs w:val="18"/>
        </w:rPr>
        <w:t>: 10.1108/08880459710175368</w:t>
      </w:r>
      <w:r>
        <w:rPr>
          <w:sz w:val="18"/>
          <w:szCs w:val="18"/>
        </w:rPr>
        <w:t>.</w:t>
      </w:r>
    </w:p>
    <w:p w14:paraId="4335A56F" w14:textId="77777777" w:rsidR="005233C6" w:rsidRPr="00065F9B" w:rsidRDefault="005233C6" w:rsidP="0021328A">
      <w:pPr>
        <w:widowControl w:val="0"/>
        <w:autoSpaceDE w:val="0"/>
        <w:autoSpaceDN w:val="0"/>
        <w:adjustRightInd w:val="0"/>
        <w:ind w:left="144" w:hanging="144"/>
        <w:rPr>
          <w:sz w:val="18"/>
          <w:szCs w:val="18"/>
        </w:rPr>
      </w:pPr>
      <w:r w:rsidRPr="00065F9B">
        <w:rPr>
          <w:sz w:val="18"/>
          <w:szCs w:val="18"/>
        </w:rPr>
        <w:t xml:space="preserve">Koenig, M. E. D. (1998a). From intellectual capital to knowledge management: What are they talking about? </w:t>
      </w:r>
      <w:r w:rsidRPr="00065F9B">
        <w:rPr>
          <w:i/>
          <w:sz w:val="18"/>
          <w:szCs w:val="18"/>
        </w:rPr>
        <w:t>INSPEL, 32</w:t>
      </w:r>
      <w:r w:rsidRPr="00065F9B">
        <w:rPr>
          <w:sz w:val="18"/>
          <w:szCs w:val="18"/>
        </w:rPr>
        <w:t xml:space="preserve">(4), 222-233. Retrieved May 25, 2014, from </w:t>
      </w:r>
      <w:hyperlink r:id="rId31" w:history="1">
        <w:r w:rsidRPr="00065F9B">
          <w:rPr>
            <w:rStyle w:val="Hyperlink"/>
            <w:sz w:val="18"/>
            <w:szCs w:val="18"/>
          </w:rPr>
          <w:t>http://forge.fh-potsdam.de/~IFLA/INSPEL/98-4koem.pdf</w:t>
        </w:r>
      </w:hyperlink>
      <w:r w:rsidRPr="00065F9B">
        <w:rPr>
          <w:sz w:val="18"/>
          <w:szCs w:val="18"/>
        </w:rPr>
        <w:t>.</w:t>
      </w:r>
    </w:p>
    <w:p w14:paraId="7C185ABA" w14:textId="77777777" w:rsidR="005233C6" w:rsidRPr="00065F9B" w:rsidRDefault="005233C6" w:rsidP="0021328A">
      <w:pPr>
        <w:widowControl w:val="0"/>
        <w:autoSpaceDE w:val="0"/>
        <w:autoSpaceDN w:val="0"/>
        <w:adjustRightInd w:val="0"/>
        <w:ind w:left="144" w:hanging="144"/>
        <w:rPr>
          <w:bCs/>
          <w:color w:val="262626"/>
          <w:sz w:val="18"/>
          <w:szCs w:val="18"/>
        </w:rPr>
      </w:pPr>
      <w:r w:rsidRPr="00065F9B">
        <w:rPr>
          <w:sz w:val="18"/>
          <w:szCs w:val="18"/>
        </w:rPr>
        <w:t xml:space="preserve">Koenig, M. E. D. (1998b). </w:t>
      </w:r>
      <w:r w:rsidRPr="00065F9B">
        <w:rPr>
          <w:i/>
          <w:sz w:val="18"/>
          <w:szCs w:val="18"/>
        </w:rPr>
        <w:t>I</w:t>
      </w:r>
      <w:r w:rsidRPr="00065F9B">
        <w:rPr>
          <w:bCs/>
          <w:i/>
          <w:color w:val="262626"/>
          <w:sz w:val="18"/>
          <w:szCs w:val="18"/>
        </w:rPr>
        <w:t>nformation driven management concepts and themes: A toolkit for librarians.</w:t>
      </w:r>
      <w:r w:rsidRPr="00065F9B">
        <w:rPr>
          <w:bCs/>
          <w:color w:val="262626"/>
          <w:sz w:val="18"/>
          <w:szCs w:val="18"/>
        </w:rPr>
        <w:t xml:space="preserve"> Munich, Germany: K. G. Saur.</w:t>
      </w:r>
    </w:p>
    <w:p w14:paraId="1A4683C0" w14:textId="77777777" w:rsidR="005233C6" w:rsidRPr="00065F9B" w:rsidRDefault="005233C6" w:rsidP="0021328A">
      <w:pPr>
        <w:widowControl w:val="0"/>
        <w:autoSpaceDE w:val="0"/>
        <w:autoSpaceDN w:val="0"/>
        <w:adjustRightInd w:val="0"/>
        <w:ind w:left="144" w:hanging="144"/>
        <w:rPr>
          <w:sz w:val="18"/>
          <w:szCs w:val="18"/>
        </w:rPr>
      </w:pPr>
      <w:proofErr w:type="spellStart"/>
      <w:r w:rsidRPr="00065F9B">
        <w:rPr>
          <w:sz w:val="18"/>
          <w:szCs w:val="18"/>
        </w:rPr>
        <w:t>Kostagiolas</w:t>
      </w:r>
      <w:proofErr w:type="spellEnd"/>
      <w:r w:rsidRPr="00065F9B">
        <w:rPr>
          <w:sz w:val="18"/>
          <w:szCs w:val="18"/>
        </w:rPr>
        <w:t xml:space="preserve">, P. A. (2012). </w:t>
      </w:r>
      <w:r w:rsidRPr="00065F9B">
        <w:rPr>
          <w:i/>
          <w:sz w:val="18"/>
          <w:szCs w:val="18"/>
        </w:rPr>
        <w:t xml:space="preserve">Managing intellectual capital in libraries: Beyond the balance sheet. </w:t>
      </w:r>
      <w:r w:rsidRPr="00065F9B">
        <w:rPr>
          <w:sz w:val="18"/>
          <w:szCs w:val="18"/>
        </w:rPr>
        <w:t xml:space="preserve">Oxford, UK: </w:t>
      </w:r>
      <w:proofErr w:type="spellStart"/>
      <w:r w:rsidRPr="00065F9B">
        <w:rPr>
          <w:sz w:val="18"/>
          <w:szCs w:val="18"/>
        </w:rPr>
        <w:t>Chandos</w:t>
      </w:r>
      <w:proofErr w:type="spellEnd"/>
      <w:r w:rsidRPr="00065F9B">
        <w:rPr>
          <w:sz w:val="18"/>
          <w:szCs w:val="18"/>
        </w:rPr>
        <w:t>.</w:t>
      </w:r>
    </w:p>
    <w:p w14:paraId="1E391B8B" w14:textId="77777777" w:rsidR="005233C6" w:rsidRPr="00065F9B" w:rsidRDefault="005233C6" w:rsidP="0021328A">
      <w:pPr>
        <w:widowControl w:val="0"/>
        <w:autoSpaceDE w:val="0"/>
        <w:autoSpaceDN w:val="0"/>
        <w:adjustRightInd w:val="0"/>
        <w:ind w:left="144" w:hanging="144"/>
        <w:rPr>
          <w:bCs/>
          <w:sz w:val="18"/>
          <w:szCs w:val="18"/>
        </w:rPr>
      </w:pPr>
      <w:proofErr w:type="spellStart"/>
      <w:r w:rsidRPr="00065F9B">
        <w:rPr>
          <w:sz w:val="18"/>
          <w:szCs w:val="18"/>
        </w:rPr>
        <w:t>Kostagiolas</w:t>
      </w:r>
      <w:proofErr w:type="spellEnd"/>
      <w:r w:rsidRPr="00065F9B">
        <w:rPr>
          <w:sz w:val="18"/>
          <w:szCs w:val="18"/>
        </w:rPr>
        <w:t xml:space="preserve">, P. A. (2013). </w:t>
      </w:r>
      <w:r w:rsidRPr="00065F9B">
        <w:rPr>
          <w:bCs/>
          <w:sz w:val="18"/>
          <w:szCs w:val="18"/>
        </w:rPr>
        <w:t xml:space="preserve">Managing knowledge capital in public libraries for a knowledge-driven socioeconomic environment. </w:t>
      </w:r>
      <w:r w:rsidRPr="00065F9B">
        <w:rPr>
          <w:bCs/>
          <w:i/>
          <w:sz w:val="18"/>
          <w:szCs w:val="18"/>
        </w:rPr>
        <w:t>Library Management, 34</w:t>
      </w:r>
      <w:r w:rsidRPr="00065F9B">
        <w:rPr>
          <w:bCs/>
          <w:sz w:val="18"/>
          <w:szCs w:val="18"/>
        </w:rPr>
        <w:t xml:space="preserve">(8/9), 677-689. </w:t>
      </w:r>
      <w:proofErr w:type="spellStart"/>
      <w:r w:rsidRPr="00065F9B">
        <w:rPr>
          <w:bCs/>
          <w:sz w:val="18"/>
          <w:szCs w:val="18"/>
        </w:rPr>
        <w:t>doi</w:t>
      </w:r>
      <w:proofErr w:type="spellEnd"/>
      <w:r w:rsidRPr="00065F9B">
        <w:rPr>
          <w:bCs/>
          <w:sz w:val="18"/>
          <w:szCs w:val="18"/>
        </w:rPr>
        <w:t xml:space="preserve">: </w:t>
      </w:r>
      <w:r w:rsidRPr="00065F9B">
        <w:rPr>
          <w:sz w:val="18"/>
          <w:szCs w:val="18"/>
        </w:rPr>
        <w:t>10.1108/LM-05-2013-0042</w:t>
      </w:r>
      <w:r>
        <w:rPr>
          <w:sz w:val="18"/>
          <w:szCs w:val="18"/>
        </w:rPr>
        <w:t>.</w:t>
      </w:r>
    </w:p>
    <w:p w14:paraId="0FE25F38" w14:textId="77777777" w:rsidR="005233C6" w:rsidRPr="00065F9B" w:rsidRDefault="005233C6" w:rsidP="0021328A">
      <w:pPr>
        <w:widowControl w:val="0"/>
        <w:autoSpaceDE w:val="0"/>
        <w:autoSpaceDN w:val="0"/>
        <w:adjustRightInd w:val="0"/>
        <w:ind w:left="144" w:hanging="144"/>
        <w:rPr>
          <w:sz w:val="18"/>
          <w:szCs w:val="18"/>
        </w:rPr>
      </w:pPr>
      <w:proofErr w:type="spellStart"/>
      <w:r w:rsidRPr="00065F9B">
        <w:rPr>
          <w:sz w:val="18"/>
          <w:szCs w:val="18"/>
        </w:rPr>
        <w:t>Kostagiolas</w:t>
      </w:r>
      <w:proofErr w:type="spellEnd"/>
      <w:r w:rsidRPr="00065F9B">
        <w:rPr>
          <w:sz w:val="18"/>
          <w:szCs w:val="18"/>
        </w:rPr>
        <w:t xml:space="preserve">, P. A., &amp; </w:t>
      </w:r>
      <w:proofErr w:type="spellStart"/>
      <w:r w:rsidRPr="00065F9B">
        <w:rPr>
          <w:sz w:val="18"/>
          <w:szCs w:val="18"/>
        </w:rPr>
        <w:t>Asonitis</w:t>
      </w:r>
      <w:proofErr w:type="spellEnd"/>
      <w:r w:rsidRPr="00065F9B">
        <w:rPr>
          <w:sz w:val="18"/>
          <w:szCs w:val="18"/>
        </w:rPr>
        <w:t xml:space="preserve">, S. (2009). Intangible assets for academic libraries: Definitions, categorization and an exploration of management issues. </w:t>
      </w:r>
      <w:r w:rsidRPr="00065F9B">
        <w:rPr>
          <w:i/>
          <w:sz w:val="18"/>
          <w:szCs w:val="18"/>
        </w:rPr>
        <w:t>Library Management, 30</w:t>
      </w:r>
      <w:r w:rsidRPr="00065F9B">
        <w:rPr>
          <w:sz w:val="18"/>
          <w:szCs w:val="18"/>
        </w:rPr>
        <w:t xml:space="preserve">(6/7), 419-429. </w:t>
      </w:r>
      <w:proofErr w:type="spellStart"/>
      <w:r w:rsidRPr="00065F9B">
        <w:rPr>
          <w:sz w:val="18"/>
          <w:szCs w:val="18"/>
        </w:rPr>
        <w:t>doi</w:t>
      </w:r>
      <w:proofErr w:type="spellEnd"/>
      <w:r w:rsidRPr="00065F9B">
        <w:rPr>
          <w:sz w:val="18"/>
          <w:szCs w:val="18"/>
        </w:rPr>
        <w:t>: 10.1108/01435120910982113</w:t>
      </w:r>
      <w:r>
        <w:rPr>
          <w:sz w:val="18"/>
          <w:szCs w:val="18"/>
        </w:rPr>
        <w:t>.</w:t>
      </w:r>
    </w:p>
    <w:p w14:paraId="7A6B91E6" w14:textId="77777777" w:rsidR="005233C6" w:rsidRPr="00065F9B" w:rsidRDefault="005233C6" w:rsidP="0021328A">
      <w:pPr>
        <w:widowControl w:val="0"/>
        <w:autoSpaceDE w:val="0"/>
        <w:autoSpaceDN w:val="0"/>
        <w:adjustRightInd w:val="0"/>
        <w:ind w:left="144" w:hanging="144"/>
        <w:rPr>
          <w:bCs/>
          <w:color w:val="262626"/>
          <w:sz w:val="18"/>
          <w:szCs w:val="18"/>
        </w:rPr>
      </w:pPr>
      <w:proofErr w:type="spellStart"/>
      <w:r w:rsidRPr="00065F9B">
        <w:rPr>
          <w:sz w:val="18"/>
          <w:szCs w:val="18"/>
        </w:rPr>
        <w:t>Kostagiolas</w:t>
      </w:r>
      <w:proofErr w:type="spellEnd"/>
      <w:r w:rsidRPr="00065F9B">
        <w:rPr>
          <w:sz w:val="18"/>
          <w:szCs w:val="18"/>
        </w:rPr>
        <w:t xml:space="preserve">, P. A., &amp; </w:t>
      </w:r>
      <w:proofErr w:type="spellStart"/>
      <w:r w:rsidRPr="00065F9B">
        <w:rPr>
          <w:sz w:val="18"/>
          <w:szCs w:val="18"/>
        </w:rPr>
        <w:t>Asonitis</w:t>
      </w:r>
      <w:proofErr w:type="spellEnd"/>
      <w:r w:rsidRPr="00065F9B">
        <w:rPr>
          <w:sz w:val="18"/>
          <w:szCs w:val="18"/>
        </w:rPr>
        <w:t xml:space="preserve">, S. (2011). Managing intellectual capital in libraries and information services. </w:t>
      </w:r>
      <w:r w:rsidRPr="00065F9B">
        <w:rPr>
          <w:i/>
          <w:sz w:val="18"/>
          <w:szCs w:val="18"/>
        </w:rPr>
        <w:t xml:space="preserve">Advances in Librarianship, 33, </w:t>
      </w:r>
      <w:r w:rsidRPr="00065F9B">
        <w:rPr>
          <w:sz w:val="18"/>
          <w:szCs w:val="18"/>
        </w:rPr>
        <w:t xml:space="preserve">31-50. </w:t>
      </w:r>
      <w:proofErr w:type="spellStart"/>
      <w:r w:rsidRPr="00065F9B">
        <w:rPr>
          <w:sz w:val="18"/>
          <w:szCs w:val="18"/>
        </w:rPr>
        <w:t>doi</w:t>
      </w:r>
      <w:proofErr w:type="spellEnd"/>
      <w:r w:rsidRPr="00065F9B">
        <w:rPr>
          <w:sz w:val="18"/>
          <w:szCs w:val="18"/>
        </w:rPr>
        <w:t xml:space="preserve">: </w:t>
      </w:r>
      <w:hyperlink r:id="rId32" w:history="1">
        <w:r w:rsidRPr="00065F9B">
          <w:rPr>
            <w:sz w:val="18"/>
            <w:szCs w:val="18"/>
          </w:rPr>
          <w:t>10.1108/S0065-2830(2011)0000033005</w:t>
        </w:r>
      </w:hyperlink>
      <w:r>
        <w:rPr>
          <w:sz w:val="18"/>
          <w:szCs w:val="18"/>
        </w:rPr>
        <w:t>.</w:t>
      </w:r>
    </w:p>
    <w:p w14:paraId="0BC92B5B" w14:textId="77777777" w:rsidR="005233C6" w:rsidRPr="00065F9B" w:rsidRDefault="005233C6" w:rsidP="0021328A">
      <w:pPr>
        <w:widowControl w:val="0"/>
        <w:autoSpaceDE w:val="0"/>
        <w:autoSpaceDN w:val="0"/>
        <w:adjustRightInd w:val="0"/>
        <w:ind w:left="144" w:hanging="144"/>
        <w:rPr>
          <w:sz w:val="18"/>
          <w:szCs w:val="18"/>
        </w:rPr>
      </w:pPr>
      <w:proofErr w:type="spellStart"/>
      <w:r w:rsidRPr="00065F9B">
        <w:rPr>
          <w:sz w:val="18"/>
          <w:szCs w:val="18"/>
        </w:rPr>
        <w:t>Krarup</w:t>
      </w:r>
      <w:proofErr w:type="spellEnd"/>
      <w:r w:rsidRPr="00065F9B">
        <w:rPr>
          <w:sz w:val="18"/>
          <w:szCs w:val="18"/>
        </w:rPr>
        <w:t xml:space="preserve">, K. (2004). Balanced scorecard at the Royal Library, Copenhagen. </w:t>
      </w:r>
      <w:r w:rsidRPr="00065F9B">
        <w:rPr>
          <w:i/>
          <w:sz w:val="18"/>
          <w:szCs w:val="18"/>
        </w:rPr>
        <w:t xml:space="preserve">LIBER Quarterly, </w:t>
      </w:r>
      <w:r w:rsidRPr="00065F9B">
        <w:rPr>
          <w:sz w:val="18"/>
          <w:szCs w:val="18"/>
        </w:rPr>
        <w:t xml:space="preserve">14(1), 37-57. Retrieved May 25, 2014, from </w:t>
      </w:r>
      <w:hyperlink r:id="rId33" w:history="1">
        <w:r w:rsidRPr="00065F9B">
          <w:rPr>
            <w:rStyle w:val="Hyperlink"/>
            <w:sz w:val="18"/>
            <w:szCs w:val="18"/>
          </w:rPr>
          <w:t>http://liber.library.uu.nl/index.php/lq/article/view/7756/7843</w:t>
        </w:r>
      </w:hyperlink>
      <w:r w:rsidRPr="00065F9B">
        <w:rPr>
          <w:sz w:val="18"/>
          <w:szCs w:val="18"/>
        </w:rPr>
        <w:t>.</w:t>
      </w:r>
    </w:p>
    <w:p w14:paraId="3F90ECD8" w14:textId="77777777" w:rsidR="005233C6" w:rsidRDefault="005233C6" w:rsidP="0021328A">
      <w:pPr>
        <w:widowControl w:val="0"/>
        <w:autoSpaceDE w:val="0"/>
        <w:autoSpaceDN w:val="0"/>
        <w:adjustRightInd w:val="0"/>
        <w:ind w:left="144" w:hanging="144"/>
        <w:rPr>
          <w:sz w:val="18"/>
          <w:szCs w:val="18"/>
        </w:rPr>
      </w:pPr>
      <w:proofErr w:type="spellStart"/>
      <w:r w:rsidRPr="00065F9B">
        <w:rPr>
          <w:bCs/>
          <w:sz w:val="18"/>
          <w:szCs w:val="18"/>
        </w:rPr>
        <w:t>Kwak</w:t>
      </w:r>
      <w:proofErr w:type="spellEnd"/>
      <w:r w:rsidRPr="00065F9B">
        <w:rPr>
          <w:bCs/>
          <w:sz w:val="18"/>
          <w:szCs w:val="18"/>
        </w:rPr>
        <w:t xml:space="preserve">, S.-Y., &amp; </w:t>
      </w:r>
      <w:proofErr w:type="spellStart"/>
      <w:r w:rsidRPr="00065F9B">
        <w:rPr>
          <w:bCs/>
          <w:sz w:val="18"/>
          <w:szCs w:val="18"/>
        </w:rPr>
        <w:t>Yoo</w:t>
      </w:r>
      <w:proofErr w:type="spellEnd"/>
      <w:r w:rsidRPr="00065F9B">
        <w:rPr>
          <w:bCs/>
          <w:sz w:val="18"/>
          <w:szCs w:val="18"/>
        </w:rPr>
        <w:t>, S.-H. (2012). The public value of a national library: Results of a contingent valuation survey</w:t>
      </w:r>
      <w:r w:rsidRPr="00065F9B">
        <w:rPr>
          <w:sz w:val="18"/>
          <w:szCs w:val="18"/>
        </w:rPr>
        <w:t xml:space="preserve">. </w:t>
      </w:r>
      <w:r w:rsidRPr="00065F9B">
        <w:rPr>
          <w:i/>
          <w:sz w:val="18"/>
          <w:szCs w:val="18"/>
        </w:rPr>
        <w:t>Journal of Librarianship and Information Science, 44</w:t>
      </w:r>
      <w:r w:rsidRPr="00065F9B">
        <w:rPr>
          <w:sz w:val="18"/>
          <w:szCs w:val="18"/>
        </w:rPr>
        <w:t>(4), 263-271.</w:t>
      </w:r>
      <w:r w:rsidRPr="00065F9B">
        <w:rPr>
          <w:i/>
          <w:sz w:val="18"/>
          <w:szCs w:val="18"/>
        </w:rPr>
        <w:t xml:space="preserve"> </w:t>
      </w:r>
      <w:proofErr w:type="spellStart"/>
      <w:r w:rsidRPr="00065F9B">
        <w:rPr>
          <w:sz w:val="18"/>
          <w:szCs w:val="18"/>
        </w:rPr>
        <w:t>doi</w:t>
      </w:r>
      <w:proofErr w:type="spellEnd"/>
      <w:r w:rsidRPr="00065F9B">
        <w:rPr>
          <w:sz w:val="18"/>
          <w:szCs w:val="18"/>
        </w:rPr>
        <w:t>: 10.1177/0961000612455820</w:t>
      </w:r>
      <w:r>
        <w:rPr>
          <w:sz w:val="18"/>
          <w:szCs w:val="18"/>
        </w:rPr>
        <w:t>.</w:t>
      </w:r>
      <w:r w:rsidRPr="00065F9B">
        <w:rPr>
          <w:sz w:val="18"/>
          <w:szCs w:val="18"/>
        </w:rPr>
        <w:t xml:space="preserve">  </w:t>
      </w:r>
    </w:p>
    <w:p w14:paraId="35DAE972" w14:textId="77777777" w:rsidR="005233C6" w:rsidRPr="00065F9B" w:rsidRDefault="005233C6" w:rsidP="0021328A">
      <w:pPr>
        <w:widowControl w:val="0"/>
        <w:autoSpaceDE w:val="0"/>
        <w:autoSpaceDN w:val="0"/>
        <w:adjustRightInd w:val="0"/>
        <w:ind w:left="144" w:hanging="144"/>
        <w:rPr>
          <w:color w:val="262626"/>
          <w:sz w:val="18"/>
          <w:szCs w:val="18"/>
        </w:rPr>
      </w:pPr>
      <w:r w:rsidRPr="00065F9B">
        <w:rPr>
          <w:sz w:val="18"/>
          <w:szCs w:val="18"/>
        </w:rPr>
        <w:t xml:space="preserve">Latimer, K. (2011). Collections to connections: Changing spaces and new challenges in academic library buildings. </w:t>
      </w:r>
      <w:r w:rsidRPr="00065F9B">
        <w:rPr>
          <w:i/>
          <w:sz w:val="18"/>
          <w:szCs w:val="18"/>
        </w:rPr>
        <w:t>Library Trends, 60</w:t>
      </w:r>
      <w:r w:rsidRPr="00065F9B">
        <w:rPr>
          <w:sz w:val="18"/>
          <w:szCs w:val="18"/>
        </w:rPr>
        <w:t xml:space="preserve">(1), 112-133. </w:t>
      </w:r>
      <w:proofErr w:type="spellStart"/>
      <w:r w:rsidRPr="00065F9B">
        <w:rPr>
          <w:sz w:val="18"/>
          <w:szCs w:val="18"/>
        </w:rPr>
        <w:t>doi</w:t>
      </w:r>
      <w:proofErr w:type="spellEnd"/>
      <w:r w:rsidRPr="00065F9B">
        <w:rPr>
          <w:sz w:val="18"/>
          <w:szCs w:val="18"/>
        </w:rPr>
        <w:t xml:space="preserve">: </w:t>
      </w:r>
      <w:r w:rsidRPr="00065F9B">
        <w:rPr>
          <w:color w:val="262626"/>
          <w:sz w:val="18"/>
          <w:szCs w:val="18"/>
        </w:rPr>
        <w:t>10.1353/lib.2011.0035</w:t>
      </w:r>
      <w:r>
        <w:rPr>
          <w:color w:val="262626"/>
          <w:sz w:val="18"/>
          <w:szCs w:val="18"/>
        </w:rPr>
        <w:t>.</w:t>
      </w:r>
    </w:p>
    <w:p w14:paraId="2A3A7F20" w14:textId="77777777" w:rsidR="005233C6" w:rsidRPr="00065F9B" w:rsidRDefault="005233C6" w:rsidP="0021328A">
      <w:pPr>
        <w:widowControl w:val="0"/>
        <w:autoSpaceDE w:val="0"/>
        <w:autoSpaceDN w:val="0"/>
        <w:adjustRightInd w:val="0"/>
        <w:ind w:left="144" w:hanging="144"/>
        <w:rPr>
          <w:sz w:val="18"/>
          <w:szCs w:val="18"/>
        </w:rPr>
      </w:pPr>
      <w:proofErr w:type="spellStart"/>
      <w:r w:rsidRPr="00065F9B">
        <w:rPr>
          <w:rFonts w:eastAsia="Arial Unicode MS"/>
          <w:sz w:val="18"/>
          <w:szCs w:val="18"/>
        </w:rPr>
        <w:t>Kyrillidou</w:t>
      </w:r>
      <w:proofErr w:type="spellEnd"/>
      <w:r w:rsidRPr="00065F9B">
        <w:rPr>
          <w:rFonts w:eastAsia="Arial Unicode MS"/>
          <w:sz w:val="18"/>
          <w:szCs w:val="18"/>
        </w:rPr>
        <w:t xml:space="preserve">, M. (2002). From input and output measures to quality and outcome measures, or, from the user in the life of the library to the library in the life of the user. </w:t>
      </w:r>
      <w:r w:rsidRPr="00065F9B">
        <w:rPr>
          <w:rFonts w:eastAsia="Arial Unicode MS"/>
          <w:i/>
          <w:sz w:val="18"/>
          <w:szCs w:val="18"/>
        </w:rPr>
        <w:t>Journal of Academic Librarianship, 28</w:t>
      </w:r>
      <w:r w:rsidRPr="00065F9B">
        <w:rPr>
          <w:rFonts w:eastAsia="Arial Unicode MS"/>
          <w:sz w:val="18"/>
          <w:szCs w:val="18"/>
        </w:rPr>
        <w:t xml:space="preserve">(1-2), 42-46. </w:t>
      </w:r>
      <w:proofErr w:type="spellStart"/>
      <w:r w:rsidRPr="00065F9B">
        <w:rPr>
          <w:rFonts w:eastAsia="Arial Unicode MS"/>
          <w:sz w:val="18"/>
          <w:szCs w:val="18"/>
        </w:rPr>
        <w:t>doi</w:t>
      </w:r>
      <w:proofErr w:type="spellEnd"/>
      <w:r w:rsidRPr="00065F9B">
        <w:rPr>
          <w:rFonts w:eastAsia="Arial Unicode MS"/>
          <w:sz w:val="18"/>
          <w:szCs w:val="18"/>
        </w:rPr>
        <w:t>: 10.1016/S0099-1333(01)00299-3</w:t>
      </w:r>
      <w:r>
        <w:rPr>
          <w:rFonts w:eastAsia="Arial Unicode MS"/>
          <w:sz w:val="18"/>
          <w:szCs w:val="18"/>
        </w:rPr>
        <w:t>.</w:t>
      </w:r>
    </w:p>
    <w:p w14:paraId="212BB7C2" w14:textId="77777777" w:rsidR="005233C6" w:rsidRPr="001A0392" w:rsidRDefault="005233C6" w:rsidP="0021328A">
      <w:pPr>
        <w:widowControl w:val="0"/>
        <w:autoSpaceDE w:val="0"/>
        <w:autoSpaceDN w:val="0"/>
        <w:adjustRightInd w:val="0"/>
        <w:ind w:left="144" w:hanging="144"/>
        <w:rPr>
          <w:sz w:val="18"/>
          <w:szCs w:val="18"/>
        </w:rPr>
      </w:pPr>
      <w:proofErr w:type="spellStart"/>
      <w:r w:rsidRPr="001A0392">
        <w:rPr>
          <w:sz w:val="18"/>
          <w:szCs w:val="18"/>
        </w:rPr>
        <w:t>Leitner</w:t>
      </w:r>
      <w:proofErr w:type="spellEnd"/>
      <w:r w:rsidRPr="001A0392">
        <w:rPr>
          <w:sz w:val="18"/>
          <w:szCs w:val="18"/>
        </w:rPr>
        <w:t xml:space="preserve"> K.-H. (2004). Intellectual capital reporting for universities: Conceptual background and application for Austrian universities. </w:t>
      </w:r>
      <w:r w:rsidRPr="001A0392">
        <w:rPr>
          <w:i/>
          <w:sz w:val="18"/>
          <w:szCs w:val="18"/>
        </w:rPr>
        <w:t>Research Evaluation, 13</w:t>
      </w:r>
      <w:r w:rsidRPr="001A0392">
        <w:rPr>
          <w:sz w:val="18"/>
          <w:szCs w:val="18"/>
        </w:rPr>
        <w:t xml:space="preserve">(2), 129-140. </w:t>
      </w:r>
      <w:proofErr w:type="spellStart"/>
      <w:r w:rsidRPr="001A0392">
        <w:rPr>
          <w:sz w:val="18"/>
          <w:szCs w:val="18"/>
        </w:rPr>
        <w:t>doi</w:t>
      </w:r>
      <w:proofErr w:type="spellEnd"/>
      <w:r w:rsidRPr="001A0392">
        <w:rPr>
          <w:sz w:val="18"/>
          <w:szCs w:val="18"/>
        </w:rPr>
        <w:t xml:space="preserve">: </w:t>
      </w:r>
      <w:r w:rsidRPr="001A0392">
        <w:rPr>
          <w:color w:val="272609"/>
          <w:sz w:val="18"/>
          <w:szCs w:val="18"/>
        </w:rPr>
        <w:t>10.3152/147154404781776464</w:t>
      </w:r>
      <w:r>
        <w:rPr>
          <w:color w:val="272609"/>
          <w:sz w:val="18"/>
          <w:szCs w:val="18"/>
        </w:rPr>
        <w:t>.</w:t>
      </w:r>
    </w:p>
    <w:p w14:paraId="25354BBE" w14:textId="77777777" w:rsidR="005233C6" w:rsidRPr="00065F9B" w:rsidRDefault="005233C6" w:rsidP="0021328A">
      <w:pPr>
        <w:widowControl w:val="0"/>
        <w:autoSpaceDE w:val="0"/>
        <w:autoSpaceDN w:val="0"/>
        <w:adjustRightInd w:val="0"/>
        <w:ind w:left="144" w:hanging="144"/>
        <w:rPr>
          <w:sz w:val="18"/>
          <w:szCs w:val="18"/>
        </w:rPr>
      </w:pPr>
      <w:r w:rsidRPr="00065F9B">
        <w:rPr>
          <w:sz w:val="18"/>
          <w:szCs w:val="18"/>
        </w:rPr>
        <w:t xml:space="preserve">Leong, N. K. (2005). How are we doing? – Measuring performance at the National University of Singapore Libraries. </w:t>
      </w:r>
      <w:r w:rsidRPr="00065F9B">
        <w:rPr>
          <w:i/>
          <w:sz w:val="18"/>
          <w:szCs w:val="18"/>
        </w:rPr>
        <w:t xml:space="preserve">International Conference on Libraries: Towards a Knowledge Society, March 14-16, 2005, University </w:t>
      </w:r>
      <w:proofErr w:type="spellStart"/>
      <w:r w:rsidRPr="00065F9B">
        <w:rPr>
          <w:i/>
          <w:sz w:val="18"/>
          <w:szCs w:val="18"/>
        </w:rPr>
        <w:t>Sains</w:t>
      </w:r>
      <w:proofErr w:type="spellEnd"/>
      <w:r w:rsidRPr="00065F9B">
        <w:rPr>
          <w:i/>
          <w:sz w:val="18"/>
          <w:szCs w:val="18"/>
        </w:rPr>
        <w:t xml:space="preserve"> Malaysia (USM), Penang, Malaysia. </w:t>
      </w:r>
      <w:r w:rsidRPr="00065F9B">
        <w:rPr>
          <w:sz w:val="18"/>
          <w:szCs w:val="18"/>
        </w:rPr>
        <w:t xml:space="preserve">Retrieved May 25, 2014, from </w:t>
      </w:r>
      <w:hyperlink r:id="rId34" w:history="1">
        <w:r w:rsidRPr="00065F9B">
          <w:rPr>
            <w:rStyle w:val="Hyperlink"/>
            <w:sz w:val="18"/>
            <w:szCs w:val="18"/>
          </w:rPr>
          <w:t>http://libportal.nus.edu.sg/media/media/2005_nkl_hrwd_paper.pdf</w:t>
        </w:r>
      </w:hyperlink>
      <w:r w:rsidRPr="00065F9B">
        <w:rPr>
          <w:sz w:val="18"/>
          <w:szCs w:val="18"/>
        </w:rPr>
        <w:t>.</w:t>
      </w:r>
    </w:p>
    <w:p w14:paraId="08A78FB1" w14:textId="77777777" w:rsidR="005233C6" w:rsidRPr="00065F9B" w:rsidRDefault="005233C6" w:rsidP="0021328A">
      <w:pPr>
        <w:pStyle w:val="NormalWeb"/>
        <w:spacing w:before="0" w:beforeAutospacing="0" w:after="80" w:afterAutospacing="0"/>
        <w:ind w:left="144" w:hanging="144"/>
        <w:jc w:val="both"/>
        <w:rPr>
          <w:rFonts w:ascii="Times New Roman" w:hAnsi="Times New Roman"/>
          <w:sz w:val="18"/>
          <w:szCs w:val="18"/>
        </w:rPr>
      </w:pPr>
      <w:r w:rsidRPr="00065F9B">
        <w:rPr>
          <w:rFonts w:ascii="Times New Roman" w:hAnsi="Times New Roman"/>
          <w:sz w:val="18"/>
          <w:szCs w:val="18"/>
        </w:rPr>
        <w:t xml:space="preserve">Lewis, D . W. (2013). From stacks to the web: The transformation of academic library collecting. </w:t>
      </w:r>
      <w:r w:rsidRPr="00065F9B">
        <w:rPr>
          <w:rFonts w:ascii="Times New Roman" w:hAnsi="Times New Roman"/>
          <w:i/>
          <w:sz w:val="18"/>
          <w:szCs w:val="18"/>
        </w:rPr>
        <w:t>College &amp; Research Libraries, 74</w:t>
      </w:r>
      <w:r w:rsidRPr="00065F9B">
        <w:rPr>
          <w:rFonts w:ascii="Times New Roman" w:hAnsi="Times New Roman"/>
          <w:sz w:val="18"/>
          <w:szCs w:val="18"/>
        </w:rPr>
        <w:t xml:space="preserve">(2), 159-177. Retrieved May 25, 2014, from </w:t>
      </w:r>
      <w:hyperlink r:id="rId35" w:history="1">
        <w:r w:rsidRPr="00065F9B">
          <w:rPr>
            <w:rStyle w:val="Hyperlink"/>
            <w:rFonts w:ascii="Times New Roman" w:hAnsi="Times New Roman"/>
            <w:sz w:val="18"/>
            <w:szCs w:val="18"/>
          </w:rPr>
          <w:t>http://crl.acrl.org/content/74/2/159.full.pdf</w:t>
        </w:r>
      </w:hyperlink>
      <w:r w:rsidRPr="00065F9B">
        <w:rPr>
          <w:rFonts w:ascii="Times New Roman" w:hAnsi="Times New Roman"/>
          <w:sz w:val="18"/>
          <w:szCs w:val="18"/>
        </w:rPr>
        <w:t>.</w:t>
      </w:r>
    </w:p>
    <w:p w14:paraId="20E9A70A" w14:textId="751969B4" w:rsidR="005233C6" w:rsidRPr="00065F9B" w:rsidRDefault="005233C6" w:rsidP="0021328A">
      <w:pPr>
        <w:ind w:left="144" w:hanging="144"/>
        <w:rPr>
          <w:sz w:val="18"/>
          <w:szCs w:val="18"/>
        </w:rPr>
      </w:pPr>
      <w:r w:rsidRPr="00065F9B">
        <w:rPr>
          <w:sz w:val="18"/>
          <w:szCs w:val="18"/>
        </w:rPr>
        <w:t xml:space="preserve">Lewis, V., Hiller, S., </w:t>
      </w:r>
      <w:proofErr w:type="spellStart"/>
      <w:r w:rsidRPr="00065F9B">
        <w:rPr>
          <w:sz w:val="18"/>
          <w:szCs w:val="18"/>
        </w:rPr>
        <w:t>Mengel</w:t>
      </w:r>
      <w:proofErr w:type="spellEnd"/>
      <w:r w:rsidRPr="00065F9B">
        <w:rPr>
          <w:sz w:val="18"/>
          <w:szCs w:val="18"/>
        </w:rPr>
        <w:t xml:space="preserve">, E., &amp; </w:t>
      </w:r>
      <w:proofErr w:type="spellStart"/>
      <w:r w:rsidRPr="00065F9B">
        <w:rPr>
          <w:sz w:val="18"/>
          <w:szCs w:val="18"/>
        </w:rPr>
        <w:t>Tolson</w:t>
      </w:r>
      <w:proofErr w:type="spellEnd"/>
      <w:r w:rsidRPr="00065F9B">
        <w:rPr>
          <w:sz w:val="18"/>
          <w:szCs w:val="18"/>
        </w:rPr>
        <w:t xml:space="preserve">, D. (2013). Building scorecards in academic research libraries: Performance measurement and organizational issues. </w:t>
      </w:r>
      <w:r w:rsidRPr="00065F9B">
        <w:rPr>
          <w:i/>
          <w:sz w:val="18"/>
          <w:szCs w:val="18"/>
        </w:rPr>
        <w:t>Evidence Based Library and Information Practice, 8</w:t>
      </w:r>
      <w:r w:rsidRPr="00065F9B">
        <w:rPr>
          <w:sz w:val="18"/>
          <w:szCs w:val="18"/>
        </w:rPr>
        <w:t xml:space="preserve">(2), 183-199. Retrieved May 25, 2014, from </w:t>
      </w:r>
      <w:hyperlink r:id="rId36" w:history="1">
        <w:r w:rsidRPr="00065F9B">
          <w:rPr>
            <w:rStyle w:val="Hyperlink"/>
            <w:sz w:val="18"/>
            <w:szCs w:val="18"/>
          </w:rPr>
          <w:t>http://ejournals.library.ualberta.ca/index.php/EBLIP/article/view/19650/15252</w:t>
        </w:r>
      </w:hyperlink>
      <w:r w:rsidRPr="00065F9B">
        <w:rPr>
          <w:sz w:val="18"/>
          <w:szCs w:val="18"/>
        </w:rPr>
        <w:t>.</w:t>
      </w:r>
    </w:p>
    <w:p w14:paraId="3EB9E980" w14:textId="77777777" w:rsidR="005233C6" w:rsidRPr="00065F9B" w:rsidRDefault="005233C6" w:rsidP="0021328A">
      <w:pPr>
        <w:widowControl w:val="0"/>
        <w:autoSpaceDE w:val="0"/>
        <w:autoSpaceDN w:val="0"/>
        <w:adjustRightInd w:val="0"/>
        <w:ind w:left="144" w:hanging="144"/>
        <w:rPr>
          <w:bCs/>
          <w:sz w:val="18"/>
          <w:szCs w:val="18"/>
        </w:rPr>
      </w:pPr>
      <w:r w:rsidRPr="00065F9B">
        <w:rPr>
          <w:sz w:val="18"/>
          <w:szCs w:val="18"/>
        </w:rPr>
        <w:t xml:space="preserve">Mackenzie, A. (2012). </w:t>
      </w:r>
      <w:proofErr w:type="spellStart"/>
      <w:r w:rsidRPr="00065F9B">
        <w:rPr>
          <w:sz w:val="18"/>
          <w:szCs w:val="18"/>
        </w:rPr>
        <w:t>Revitalising</w:t>
      </w:r>
      <w:proofErr w:type="spellEnd"/>
      <w:r w:rsidRPr="00065F9B">
        <w:rPr>
          <w:sz w:val="18"/>
          <w:szCs w:val="18"/>
        </w:rPr>
        <w:t xml:space="preserve"> strategic planning: Introducing the Balanced Scorecard. In I. Hall, S. Thornton &amp; S. Town (Eds.), </w:t>
      </w:r>
      <w:r w:rsidRPr="00065F9B">
        <w:rPr>
          <w:i/>
          <w:sz w:val="18"/>
          <w:szCs w:val="18"/>
        </w:rPr>
        <w:t xml:space="preserve">Proving value in challenging times: Proceedings </w:t>
      </w:r>
      <w:r w:rsidRPr="00065F9B">
        <w:rPr>
          <w:bCs/>
          <w:i/>
          <w:sz w:val="18"/>
          <w:szCs w:val="18"/>
        </w:rPr>
        <w:t xml:space="preserve">of the 9th </w:t>
      </w:r>
      <w:proofErr w:type="spellStart"/>
      <w:r w:rsidRPr="00065F9B">
        <w:rPr>
          <w:bCs/>
          <w:i/>
          <w:sz w:val="18"/>
          <w:szCs w:val="18"/>
        </w:rPr>
        <w:t>Northumbria</w:t>
      </w:r>
      <w:proofErr w:type="spellEnd"/>
      <w:r w:rsidRPr="00065F9B">
        <w:rPr>
          <w:bCs/>
          <w:i/>
          <w:sz w:val="18"/>
          <w:szCs w:val="18"/>
        </w:rPr>
        <w:t xml:space="preserve"> International Conference on Performance Measurement in Libraries and Information Services, York, UK, August 22-26, 2011</w:t>
      </w:r>
      <w:r w:rsidRPr="00065F9B">
        <w:rPr>
          <w:bCs/>
          <w:sz w:val="18"/>
          <w:szCs w:val="18"/>
        </w:rPr>
        <w:t xml:space="preserve"> (pp. 243-247). York, UK: University of York. Retrieved May 25, 2014, from </w:t>
      </w:r>
      <w:hyperlink r:id="rId37" w:history="1">
        <w:r w:rsidRPr="00065F9B">
          <w:rPr>
            <w:rStyle w:val="Hyperlink"/>
            <w:bCs/>
            <w:sz w:val="18"/>
            <w:szCs w:val="18"/>
          </w:rPr>
          <w:t>http://www.york.ac.uk/about/departments/support-and-admin/information-directorate/northumbria-conference/9th-conference/proceedings/</w:t>
        </w:r>
      </w:hyperlink>
      <w:r w:rsidRPr="00065F9B">
        <w:rPr>
          <w:bCs/>
          <w:sz w:val="18"/>
          <w:szCs w:val="18"/>
        </w:rPr>
        <w:t>.</w:t>
      </w:r>
    </w:p>
    <w:p w14:paraId="6C914898" w14:textId="77777777" w:rsidR="005233C6" w:rsidRPr="00065F9B" w:rsidRDefault="005233C6" w:rsidP="0021328A">
      <w:pPr>
        <w:pStyle w:val="NormalWeb"/>
        <w:spacing w:before="0" w:beforeAutospacing="0" w:after="80" w:afterAutospacing="0"/>
        <w:ind w:left="144" w:hanging="144"/>
        <w:jc w:val="both"/>
        <w:rPr>
          <w:rFonts w:ascii="Times New Roman" w:hAnsi="Times New Roman"/>
          <w:sz w:val="18"/>
          <w:szCs w:val="18"/>
        </w:rPr>
      </w:pPr>
      <w:r w:rsidRPr="00065F9B">
        <w:rPr>
          <w:rFonts w:ascii="Times New Roman" w:hAnsi="Times New Roman"/>
          <w:sz w:val="18"/>
          <w:szCs w:val="18"/>
        </w:rPr>
        <w:t xml:space="preserve">Mathews, B. (2014). Flip the model: Strategies for creating and delivering value. </w:t>
      </w:r>
      <w:r w:rsidRPr="00065F9B">
        <w:rPr>
          <w:rFonts w:ascii="Times New Roman" w:hAnsi="Times New Roman"/>
          <w:i/>
          <w:sz w:val="18"/>
          <w:szCs w:val="18"/>
        </w:rPr>
        <w:t>Journal of Academic Librarianship, 40</w:t>
      </w:r>
      <w:r w:rsidRPr="00065F9B">
        <w:rPr>
          <w:rFonts w:ascii="Times New Roman" w:hAnsi="Times New Roman"/>
          <w:sz w:val="18"/>
          <w:szCs w:val="18"/>
        </w:rPr>
        <w:t xml:space="preserve">(1), 16-24. </w:t>
      </w:r>
      <w:proofErr w:type="spellStart"/>
      <w:r w:rsidRPr="00065F9B">
        <w:rPr>
          <w:rFonts w:ascii="Times New Roman" w:hAnsi="Times New Roman"/>
          <w:sz w:val="18"/>
          <w:szCs w:val="18"/>
        </w:rPr>
        <w:t>doi</w:t>
      </w:r>
      <w:proofErr w:type="spellEnd"/>
      <w:r w:rsidRPr="00065F9B">
        <w:rPr>
          <w:rFonts w:ascii="Times New Roman" w:hAnsi="Times New Roman"/>
          <w:sz w:val="18"/>
          <w:szCs w:val="18"/>
        </w:rPr>
        <w:t xml:space="preserve">: </w:t>
      </w:r>
      <w:r w:rsidRPr="00065F9B">
        <w:rPr>
          <w:rFonts w:ascii="Times New Roman" w:eastAsia="Arial Unicode MS" w:hAnsi="Times New Roman"/>
          <w:sz w:val="18"/>
          <w:szCs w:val="18"/>
        </w:rPr>
        <w:t>10.1016/j.acalib.2013.09.004</w:t>
      </w:r>
      <w:r>
        <w:rPr>
          <w:rFonts w:ascii="Times New Roman" w:eastAsia="Arial Unicode MS" w:hAnsi="Times New Roman"/>
          <w:sz w:val="18"/>
          <w:szCs w:val="18"/>
        </w:rPr>
        <w:t>.</w:t>
      </w:r>
    </w:p>
    <w:p w14:paraId="7CAC6D53" w14:textId="5424E3D4" w:rsidR="005233C6" w:rsidRDefault="005233C6" w:rsidP="0021328A">
      <w:pPr>
        <w:widowControl w:val="0"/>
        <w:autoSpaceDE w:val="0"/>
        <w:autoSpaceDN w:val="0"/>
        <w:adjustRightInd w:val="0"/>
        <w:ind w:left="144" w:hanging="144"/>
        <w:rPr>
          <w:sz w:val="18"/>
          <w:szCs w:val="18"/>
        </w:rPr>
      </w:pPr>
      <w:r w:rsidRPr="00065F9B">
        <w:rPr>
          <w:sz w:val="18"/>
          <w:szCs w:val="18"/>
        </w:rPr>
        <w:t xml:space="preserve">Matthews, J. R. (2013). </w:t>
      </w:r>
      <w:r w:rsidRPr="00065F9B">
        <w:rPr>
          <w:bCs/>
          <w:sz w:val="18"/>
          <w:szCs w:val="18"/>
        </w:rPr>
        <w:t xml:space="preserve">Valuing information, information services, and the library: Possibilities and realities. </w:t>
      </w:r>
      <w:r w:rsidRPr="00065F9B">
        <w:rPr>
          <w:i/>
          <w:sz w:val="18"/>
          <w:szCs w:val="18"/>
        </w:rPr>
        <w:t>portal: Libraries and the Academy, 13</w:t>
      </w:r>
      <w:r w:rsidRPr="00065F9B">
        <w:rPr>
          <w:sz w:val="18"/>
          <w:szCs w:val="18"/>
        </w:rPr>
        <w:t xml:space="preserve">(1), 2013, 91-112. </w:t>
      </w:r>
      <w:proofErr w:type="spellStart"/>
      <w:r w:rsidRPr="00065F9B">
        <w:rPr>
          <w:sz w:val="18"/>
          <w:szCs w:val="18"/>
        </w:rPr>
        <w:t>doi</w:t>
      </w:r>
      <w:proofErr w:type="spellEnd"/>
      <w:r w:rsidRPr="00065F9B">
        <w:rPr>
          <w:sz w:val="18"/>
          <w:szCs w:val="18"/>
        </w:rPr>
        <w:t xml:space="preserve">: </w:t>
      </w:r>
      <w:r w:rsidRPr="00065F9B">
        <w:rPr>
          <w:iCs/>
          <w:sz w:val="18"/>
          <w:szCs w:val="18"/>
        </w:rPr>
        <w:t>10.1353/pla.2013.0000</w:t>
      </w:r>
      <w:r>
        <w:rPr>
          <w:sz w:val="18"/>
          <w:szCs w:val="18"/>
        </w:rPr>
        <w:t>.</w:t>
      </w:r>
    </w:p>
    <w:p w14:paraId="7DEB11F8" w14:textId="77777777" w:rsidR="005233C6" w:rsidRPr="00065F9B" w:rsidRDefault="005233C6" w:rsidP="0021328A">
      <w:pPr>
        <w:widowControl w:val="0"/>
        <w:autoSpaceDE w:val="0"/>
        <w:autoSpaceDN w:val="0"/>
        <w:adjustRightInd w:val="0"/>
        <w:ind w:left="144" w:hanging="144"/>
        <w:rPr>
          <w:color w:val="000000"/>
          <w:sz w:val="18"/>
          <w:szCs w:val="18"/>
        </w:rPr>
      </w:pPr>
      <w:r w:rsidRPr="00065F9B">
        <w:rPr>
          <w:sz w:val="18"/>
          <w:szCs w:val="18"/>
        </w:rPr>
        <w:t xml:space="preserve">McCaffrey, C. (2013). </w:t>
      </w:r>
      <w:proofErr w:type="spellStart"/>
      <w:r w:rsidRPr="00065F9B">
        <w:rPr>
          <w:sz w:val="18"/>
          <w:szCs w:val="18"/>
        </w:rPr>
        <w:t>LibQUAL</w:t>
      </w:r>
      <w:proofErr w:type="spellEnd"/>
      <w:r w:rsidRPr="00065F9B">
        <w:rPr>
          <w:sz w:val="18"/>
          <w:szCs w:val="18"/>
        </w:rPr>
        <w:t xml:space="preserve"> in Ireland: Performance assessment and service improvement in Irish university libraries. </w:t>
      </w:r>
      <w:r w:rsidRPr="00065F9B">
        <w:rPr>
          <w:i/>
          <w:sz w:val="18"/>
          <w:szCs w:val="18"/>
        </w:rPr>
        <w:t>Journal of Academic Librarianship, 39</w:t>
      </w:r>
      <w:r w:rsidRPr="00065F9B">
        <w:rPr>
          <w:sz w:val="18"/>
          <w:szCs w:val="18"/>
        </w:rPr>
        <w:t>(4), 347-350</w:t>
      </w:r>
      <w:r w:rsidRPr="00065F9B">
        <w:rPr>
          <w:i/>
          <w:sz w:val="18"/>
          <w:szCs w:val="18"/>
        </w:rPr>
        <w:t xml:space="preserve">. </w:t>
      </w:r>
      <w:proofErr w:type="spellStart"/>
      <w:r w:rsidRPr="00065F9B">
        <w:rPr>
          <w:sz w:val="18"/>
          <w:szCs w:val="18"/>
        </w:rPr>
        <w:t>doi</w:t>
      </w:r>
      <w:proofErr w:type="spellEnd"/>
      <w:r w:rsidRPr="00065F9B">
        <w:rPr>
          <w:sz w:val="18"/>
          <w:szCs w:val="18"/>
        </w:rPr>
        <w:t>: 10.1016/j.acalib.2012.11.036</w:t>
      </w:r>
      <w:r>
        <w:rPr>
          <w:sz w:val="18"/>
          <w:szCs w:val="18"/>
        </w:rPr>
        <w:t>.</w:t>
      </w:r>
    </w:p>
    <w:p w14:paraId="3E1D4B02" w14:textId="77777777" w:rsidR="005233C6" w:rsidRPr="00065F9B" w:rsidRDefault="005233C6" w:rsidP="0021328A">
      <w:pPr>
        <w:widowControl w:val="0"/>
        <w:autoSpaceDE w:val="0"/>
        <w:autoSpaceDN w:val="0"/>
        <w:adjustRightInd w:val="0"/>
        <w:ind w:left="144" w:hanging="144"/>
        <w:rPr>
          <w:sz w:val="18"/>
          <w:szCs w:val="18"/>
        </w:rPr>
      </w:pPr>
      <w:r w:rsidRPr="00065F9B">
        <w:rPr>
          <w:sz w:val="18"/>
          <w:szCs w:val="18"/>
        </w:rPr>
        <w:t xml:space="preserve">McIntosh, C. R. (2013). Library return on investment: Defending the contingent valuation method for public benefits estimation. </w:t>
      </w:r>
      <w:r w:rsidRPr="00065F9B">
        <w:rPr>
          <w:i/>
          <w:iCs/>
          <w:sz w:val="18"/>
          <w:szCs w:val="18"/>
        </w:rPr>
        <w:t>Library &amp; Information Science Research</w:t>
      </w:r>
      <w:r w:rsidRPr="00065F9B">
        <w:rPr>
          <w:sz w:val="18"/>
          <w:szCs w:val="18"/>
        </w:rPr>
        <w:t xml:space="preserve">, 35(2), 117-126. </w:t>
      </w:r>
      <w:proofErr w:type="spellStart"/>
      <w:r w:rsidRPr="00065F9B">
        <w:rPr>
          <w:sz w:val="18"/>
          <w:szCs w:val="18"/>
        </w:rPr>
        <w:t>doi</w:t>
      </w:r>
      <w:proofErr w:type="spellEnd"/>
      <w:r w:rsidRPr="00065F9B">
        <w:rPr>
          <w:sz w:val="18"/>
          <w:szCs w:val="18"/>
        </w:rPr>
        <w:t>: 10.1016/j.lisr.2012.11.001</w:t>
      </w:r>
      <w:r>
        <w:rPr>
          <w:sz w:val="18"/>
          <w:szCs w:val="18"/>
        </w:rPr>
        <w:t>.</w:t>
      </w:r>
      <w:r w:rsidRPr="00065F9B">
        <w:rPr>
          <w:sz w:val="18"/>
          <w:szCs w:val="18"/>
        </w:rPr>
        <w:t xml:space="preserve"> </w:t>
      </w:r>
    </w:p>
    <w:p w14:paraId="04D36592" w14:textId="77777777" w:rsidR="005233C6" w:rsidRPr="00065F9B" w:rsidRDefault="005233C6" w:rsidP="0021328A">
      <w:pPr>
        <w:widowControl w:val="0"/>
        <w:autoSpaceDE w:val="0"/>
        <w:autoSpaceDN w:val="0"/>
        <w:adjustRightInd w:val="0"/>
        <w:ind w:left="144" w:hanging="144"/>
        <w:rPr>
          <w:sz w:val="18"/>
          <w:szCs w:val="18"/>
        </w:rPr>
      </w:pPr>
      <w:proofErr w:type="spellStart"/>
      <w:r w:rsidRPr="00065F9B">
        <w:rPr>
          <w:sz w:val="18"/>
          <w:szCs w:val="18"/>
        </w:rPr>
        <w:t>Melo</w:t>
      </w:r>
      <w:proofErr w:type="spellEnd"/>
      <w:r w:rsidRPr="00065F9B">
        <w:rPr>
          <w:sz w:val="18"/>
          <w:szCs w:val="18"/>
        </w:rPr>
        <w:t xml:space="preserve">, L. B., </w:t>
      </w:r>
      <w:proofErr w:type="spellStart"/>
      <w:r w:rsidRPr="00065F9B">
        <w:rPr>
          <w:sz w:val="18"/>
          <w:szCs w:val="18"/>
        </w:rPr>
        <w:t>Pires</w:t>
      </w:r>
      <w:proofErr w:type="spellEnd"/>
      <w:r w:rsidRPr="00065F9B">
        <w:rPr>
          <w:sz w:val="18"/>
          <w:szCs w:val="18"/>
        </w:rPr>
        <w:t xml:space="preserve">, C., &amp; </w:t>
      </w:r>
      <w:proofErr w:type="spellStart"/>
      <w:r w:rsidRPr="00065F9B">
        <w:rPr>
          <w:sz w:val="18"/>
          <w:szCs w:val="18"/>
        </w:rPr>
        <w:t>Taveira</w:t>
      </w:r>
      <w:proofErr w:type="spellEnd"/>
      <w:r w:rsidRPr="00065F9B">
        <w:rPr>
          <w:sz w:val="18"/>
          <w:szCs w:val="18"/>
        </w:rPr>
        <w:t xml:space="preserve">, A. (2008). Recognizing best practice in Portuguese higher education libraries. </w:t>
      </w:r>
      <w:r w:rsidRPr="00065F9B">
        <w:rPr>
          <w:i/>
          <w:iCs/>
          <w:sz w:val="18"/>
          <w:szCs w:val="18"/>
        </w:rPr>
        <w:t xml:space="preserve">IFLA Journal, </w:t>
      </w:r>
      <w:r w:rsidRPr="00065F9B">
        <w:rPr>
          <w:i/>
          <w:sz w:val="18"/>
          <w:szCs w:val="18"/>
        </w:rPr>
        <w:t>34</w:t>
      </w:r>
      <w:r w:rsidRPr="00065F9B">
        <w:rPr>
          <w:sz w:val="18"/>
          <w:szCs w:val="18"/>
        </w:rPr>
        <w:t xml:space="preserve">(1), 34-54. Retrieved May 25, 2014, from </w:t>
      </w:r>
      <w:hyperlink r:id="rId38" w:history="1">
        <w:r w:rsidRPr="00065F9B">
          <w:rPr>
            <w:rStyle w:val="Hyperlink"/>
            <w:sz w:val="18"/>
            <w:szCs w:val="18"/>
          </w:rPr>
          <w:t>http://archive.ifla.org/V/iflaj/IFLA-Journal-1-2008.pdf</w:t>
        </w:r>
      </w:hyperlink>
      <w:r w:rsidRPr="00065F9B">
        <w:rPr>
          <w:sz w:val="18"/>
          <w:szCs w:val="18"/>
        </w:rPr>
        <w:t>.</w:t>
      </w:r>
    </w:p>
    <w:p w14:paraId="3CEC3D59" w14:textId="77777777" w:rsidR="005233C6" w:rsidRPr="00096F43" w:rsidRDefault="005233C6" w:rsidP="0021328A">
      <w:pPr>
        <w:widowControl w:val="0"/>
        <w:autoSpaceDE w:val="0"/>
        <w:autoSpaceDN w:val="0"/>
        <w:adjustRightInd w:val="0"/>
        <w:ind w:left="144" w:hanging="144"/>
        <w:rPr>
          <w:sz w:val="18"/>
          <w:szCs w:val="18"/>
        </w:rPr>
      </w:pPr>
      <w:proofErr w:type="spellStart"/>
      <w:r w:rsidRPr="00096F43">
        <w:rPr>
          <w:sz w:val="18"/>
          <w:szCs w:val="18"/>
        </w:rPr>
        <w:t>Meso</w:t>
      </w:r>
      <w:proofErr w:type="spellEnd"/>
      <w:r w:rsidRPr="00096F43">
        <w:rPr>
          <w:sz w:val="18"/>
          <w:szCs w:val="18"/>
        </w:rPr>
        <w:t xml:space="preserve">, P., &amp; Smith, R. (2000). A resource-based view of organizational knowledge management systems. </w:t>
      </w:r>
      <w:r w:rsidRPr="00096F43">
        <w:rPr>
          <w:i/>
          <w:sz w:val="18"/>
          <w:szCs w:val="18"/>
        </w:rPr>
        <w:t>Journal of Knowledge Management, 4</w:t>
      </w:r>
      <w:r w:rsidRPr="00096F43">
        <w:rPr>
          <w:sz w:val="18"/>
          <w:szCs w:val="18"/>
        </w:rPr>
        <w:t xml:space="preserve">(3), 224-234. </w:t>
      </w:r>
      <w:proofErr w:type="spellStart"/>
      <w:r w:rsidRPr="00586D18">
        <w:rPr>
          <w:sz w:val="18"/>
          <w:szCs w:val="18"/>
        </w:rPr>
        <w:t>doi</w:t>
      </w:r>
      <w:proofErr w:type="spellEnd"/>
      <w:r w:rsidRPr="00586D18">
        <w:rPr>
          <w:sz w:val="18"/>
          <w:szCs w:val="18"/>
        </w:rPr>
        <w:t>:</w:t>
      </w:r>
      <w:r w:rsidRPr="00C40828">
        <w:rPr>
          <w:sz w:val="18"/>
          <w:szCs w:val="18"/>
        </w:rPr>
        <w:t xml:space="preserve"> </w:t>
      </w:r>
      <w:r w:rsidRPr="00C40828">
        <w:rPr>
          <w:color w:val="424242"/>
          <w:sz w:val="18"/>
          <w:szCs w:val="18"/>
        </w:rPr>
        <w:t>10.1108/13673270010350020.</w:t>
      </w:r>
    </w:p>
    <w:p w14:paraId="6D35783E" w14:textId="0448F1FE" w:rsidR="005233C6" w:rsidRPr="00AB530E" w:rsidRDefault="005233C6" w:rsidP="0021328A">
      <w:pPr>
        <w:widowControl w:val="0"/>
        <w:autoSpaceDE w:val="0"/>
        <w:autoSpaceDN w:val="0"/>
        <w:adjustRightInd w:val="0"/>
        <w:ind w:left="144" w:hanging="144"/>
        <w:rPr>
          <w:sz w:val="18"/>
          <w:szCs w:val="18"/>
        </w:rPr>
      </w:pPr>
      <w:proofErr w:type="spellStart"/>
      <w:r w:rsidRPr="00065F9B">
        <w:rPr>
          <w:sz w:val="18"/>
          <w:szCs w:val="18"/>
        </w:rPr>
        <w:t>Mushi</w:t>
      </w:r>
      <w:proofErr w:type="spellEnd"/>
      <w:r w:rsidRPr="00065F9B">
        <w:rPr>
          <w:sz w:val="18"/>
          <w:szCs w:val="18"/>
        </w:rPr>
        <w:t xml:space="preserve">, R. J.  (2009). </w:t>
      </w:r>
      <w:r w:rsidRPr="00065F9B">
        <w:rPr>
          <w:i/>
          <w:sz w:val="18"/>
          <w:szCs w:val="18"/>
        </w:rPr>
        <w:t>Intellectual capital and public university libraries: A knowledge sharing perspective</w:t>
      </w:r>
      <w:r w:rsidRPr="00065F9B">
        <w:rPr>
          <w:sz w:val="18"/>
          <w:szCs w:val="18"/>
        </w:rPr>
        <w:t xml:space="preserve"> (Unpublished master’s thesis). Oslo University College, Tallinn University &amp; Parma University. Retrieved May 25, 2014, from </w:t>
      </w:r>
      <w:hyperlink r:id="rId39" w:history="1">
        <w:r w:rsidRPr="00065F9B">
          <w:rPr>
            <w:rStyle w:val="Hyperlink"/>
            <w:sz w:val="18"/>
            <w:szCs w:val="18"/>
          </w:rPr>
          <w:t>https://oda.hio.no/jspui/handle/10642/878</w:t>
        </w:r>
      </w:hyperlink>
      <w:r w:rsidRPr="00065F9B">
        <w:rPr>
          <w:sz w:val="18"/>
          <w:szCs w:val="18"/>
        </w:rPr>
        <w:t>.</w:t>
      </w:r>
      <w:r w:rsidRPr="00065F9B">
        <w:rPr>
          <w:color w:val="1C1C1C"/>
          <w:sz w:val="18"/>
          <w:szCs w:val="18"/>
        </w:rPr>
        <w:t xml:space="preserve"> </w:t>
      </w:r>
    </w:p>
    <w:p w14:paraId="7D1F415F" w14:textId="77777777" w:rsidR="005233C6" w:rsidRPr="00065F9B" w:rsidRDefault="005233C6" w:rsidP="0021328A">
      <w:pPr>
        <w:pStyle w:val="NormalWeb"/>
        <w:spacing w:before="0" w:beforeAutospacing="0" w:after="80" w:afterAutospacing="0"/>
        <w:ind w:left="144" w:hanging="144"/>
        <w:jc w:val="both"/>
        <w:rPr>
          <w:rFonts w:ascii="Times New Roman" w:hAnsi="Times New Roman"/>
          <w:sz w:val="18"/>
          <w:szCs w:val="18"/>
        </w:rPr>
      </w:pPr>
      <w:proofErr w:type="spellStart"/>
      <w:r w:rsidRPr="00065F9B">
        <w:rPr>
          <w:rFonts w:ascii="Times New Roman" w:hAnsi="Times New Roman"/>
          <w:iCs/>
          <w:sz w:val="18"/>
          <w:szCs w:val="18"/>
        </w:rPr>
        <w:t>Oakleaf</w:t>
      </w:r>
      <w:proofErr w:type="spellEnd"/>
      <w:r w:rsidRPr="00065F9B">
        <w:rPr>
          <w:rFonts w:ascii="Times New Roman" w:hAnsi="Times New Roman"/>
          <w:iCs/>
          <w:sz w:val="18"/>
          <w:szCs w:val="18"/>
        </w:rPr>
        <w:t xml:space="preserve">, M. (2013). </w:t>
      </w:r>
      <w:r w:rsidRPr="00065F9B">
        <w:rPr>
          <w:rFonts w:ascii="Times New Roman" w:hAnsi="Times New Roman"/>
          <w:sz w:val="18"/>
          <w:szCs w:val="18"/>
        </w:rPr>
        <w:t xml:space="preserve">Building the assessment librarian guildhall: Criteria and skills for quality assessment. </w:t>
      </w:r>
      <w:r w:rsidRPr="00065F9B">
        <w:rPr>
          <w:rFonts w:ascii="Times New Roman" w:hAnsi="Times New Roman"/>
          <w:i/>
          <w:sz w:val="18"/>
          <w:szCs w:val="18"/>
        </w:rPr>
        <w:t>Journal of Academic Librarianship, 39</w:t>
      </w:r>
      <w:r w:rsidRPr="00065F9B">
        <w:rPr>
          <w:rFonts w:ascii="Times New Roman" w:hAnsi="Times New Roman"/>
          <w:sz w:val="18"/>
          <w:szCs w:val="18"/>
        </w:rPr>
        <w:t>(2)</w:t>
      </w:r>
      <w:r w:rsidRPr="00065F9B">
        <w:rPr>
          <w:rFonts w:ascii="Times New Roman" w:hAnsi="Times New Roman"/>
          <w:i/>
          <w:sz w:val="18"/>
          <w:szCs w:val="18"/>
        </w:rPr>
        <w:t>,</w:t>
      </w:r>
      <w:r w:rsidRPr="00065F9B">
        <w:rPr>
          <w:rFonts w:ascii="Times New Roman" w:hAnsi="Times New Roman"/>
          <w:sz w:val="18"/>
          <w:szCs w:val="18"/>
        </w:rPr>
        <w:t xml:space="preserve"> 126-128. </w:t>
      </w:r>
      <w:proofErr w:type="spellStart"/>
      <w:r w:rsidRPr="00065F9B">
        <w:rPr>
          <w:rFonts w:ascii="Times New Roman" w:hAnsi="Times New Roman"/>
          <w:sz w:val="18"/>
          <w:szCs w:val="18"/>
        </w:rPr>
        <w:t>doi</w:t>
      </w:r>
      <w:proofErr w:type="spellEnd"/>
      <w:r w:rsidRPr="00065F9B">
        <w:rPr>
          <w:rFonts w:ascii="Times New Roman" w:hAnsi="Times New Roman"/>
          <w:sz w:val="18"/>
          <w:szCs w:val="18"/>
        </w:rPr>
        <w:t xml:space="preserve">: </w:t>
      </w:r>
      <w:r w:rsidRPr="00065F9B">
        <w:rPr>
          <w:rFonts w:ascii="Times New Roman" w:eastAsia="Times New Roman" w:hAnsi="Times New Roman"/>
          <w:sz w:val="18"/>
          <w:szCs w:val="18"/>
        </w:rPr>
        <w:t>10.1016/j.acalib.2013.02.004</w:t>
      </w:r>
      <w:r>
        <w:rPr>
          <w:rFonts w:ascii="Times New Roman" w:eastAsia="Times New Roman" w:hAnsi="Times New Roman"/>
          <w:sz w:val="18"/>
          <w:szCs w:val="18"/>
        </w:rPr>
        <w:t>.</w:t>
      </w:r>
      <w:r w:rsidRPr="00065F9B">
        <w:rPr>
          <w:rFonts w:ascii="Times New Roman" w:eastAsia="Times New Roman" w:hAnsi="Times New Roman"/>
          <w:sz w:val="18"/>
          <w:szCs w:val="18"/>
        </w:rPr>
        <w:t xml:space="preserve"> </w:t>
      </w:r>
    </w:p>
    <w:p w14:paraId="331BDC7D" w14:textId="77777777" w:rsidR="005233C6" w:rsidRDefault="005233C6" w:rsidP="0021328A">
      <w:pPr>
        <w:ind w:left="144" w:hanging="144"/>
        <w:rPr>
          <w:sz w:val="18"/>
          <w:szCs w:val="18"/>
        </w:rPr>
      </w:pPr>
      <w:r w:rsidRPr="00065F9B">
        <w:rPr>
          <w:sz w:val="18"/>
          <w:szCs w:val="18"/>
        </w:rPr>
        <w:t xml:space="preserve">OECD (2006). </w:t>
      </w:r>
      <w:r w:rsidRPr="00065F9B">
        <w:rPr>
          <w:i/>
          <w:sz w:val="18"/>
          <w:szCs w:val="18"/>
        </w:rPr>
        <w:t xml:space="preserve">Intellectual assets and value creation: Implications for corporate reporting. </w:t>
      </w:r>
      <w:r w:rsidRPr="00065F9B">
        <w:rPr>
          <w:sz w:val="18"/>
          <w:szCs w:val="18"/>
        </w:rPr>
        <w:t>Paris:</w:t>
      </w:r>
      <w:r w:rsidRPr="00065F9B">
        <w:rPr>
          <w:i/>
          <w:sz w:val="18"/>
          <w:szCs w:val="18"/>
        </w:rPr>
        <w:t xml:space="preserve"> </w:t>
      </w:r>
      <w:proofErr w:type="spellStart"/>
      <w:r w:rsidRPr="00065F9B">
        <w:rPr>
          <w:sz w:val="18"/>
          <w:szCs w:val="18"/>
        </w:rPr>
        <w:t>Organisation</w:t>
      </w:r>
      <w:proofErr w:type="spellEnd"/>
      <w:r w:rsidRPr="00065F9B">
        <w:rPr>
          <w:sz w:val="18"/>
          <w:szCs w:val="18"/>
        </w:rPr>
        <w:t xml:space="preserve"> for Economic Co-operation and Development. Retrieved May 25, 2014 from </w:t>
      </w:r>
      <w:hyperlink r:id="rId40" w:history="1">
        <w:r w:rsidRPr="00065F9B">
          <w:rPr>
            <w:rStyle w:val="Hyperlink"/>
            <w:sz w:val="18"/>
            <w:szCs w:val="18"/>
          </w:rPr>
          <w:t>http://www.oecd.org/corporate/ca/corporategovernanceprinciples/37811196.pdf</w:t>
        </w:r>
      </w:hyperlink>
      <w:r w:rsidRPr="00065F9B">
        <w:rPr>
          <w:sz w:val="18"/>
          <w:szCs w:val="18"/>
        </w:rPr>
        <w:t>.</w:t>
      </w:r>
    </w:p>
    <w:p w14:paraId="4EE66E5E" w14:textId="77777777" w:rsidR="005233C6" w:rsidRPr="00282BD2" w:rsidRDefault="005233C6" w:rsidP="0021328A">
      <w:pPr>
        <w:ind w:left="144" w:hanging="144"/>
        <w:rPr>
          <w:sz w:val="18"/>
          <w:szCs w:val="18"/>
        </w:rPr>
      </w:pPr>
      <w:r w:rsidRPr="00282BD2">
        <w:rPr>
          <w:sz w:val="18"/>
          <w:szCs w:val="18"/>
        </w:rPr>
        <w:t xml:space="preserve">OECD (2008). </w:t>
      </w:r>
      <w:r w:rsidRPr="00282BD2">
        <w:rPr>
          <w:i/>
          <w:sz w:val="18"/>
          <w:szCs w:val="18"/>
        </w:rPr>
        <w:t xml:space="preserve">Intellectual assets and value creation: Synthesis report. </w:t>
      </w:r>
      <w:r w:rsidRPr="00282BD2">
        <w:rPr>
          <w:sz w:val="18"/>
          <w:szCs w:val="18"/>
        </w:rPr>
        <w:t>Paris:</w:t>
      </w:r>
      <w:r w:rsidRPr="00282BD2">
        <w:rPr>
          <w:i/>
          <w:sz w:val="18"/>
          <w:szCs w:val="18"/>
        </w:rPr>
        <w:t xml:space="preserve"> </w:t>
      </w:r>
      <w:proofErr w:type="spellStart"/>
      <w:r w:rsidRPr="00282BD2">
        <w:rPr>
          <w:sz w:val="18"/>
          <w:szCs w:val="18"/>
        </w:rPr>
        <w:t>Organisation</w:t>
      </w:r>
      <w:proofErr w:type="spellEnd"/>
      <w:r w:rsidRPr="00282BD2">
        <w:rPr>
          <w:sz w:val="18"/>
          <w:szCs w:val="18"/>
        </w:rPr>
        <w:t xml:space="preserve"> for Economic Co-operation and Development. Retrieved May 25, 2014 from </w:t>
      </w:r>
      <w:hyperlink r:id="rId41" w:history="1">
        <w:r w:rsidRPr="00282BD2">
          <w:rPr>
            <w:rStyle w:val="Hyperlink"/>
            <w:sz w:val="18"/>
            <w:szCs w:val="18"/>
          </w:rPr>
          <w:t>http://www.oecd.org/sti/inno/40637101.pdf</w:t>
        </w:r>
      </w:hyperlink>
      <w:r w:rsidRPr="00282BD2">
        <w:rPr>
          <w:sz w:val="18"/>
          <w:szCs w:val="18"/>
        </w:rPr>
        <w:t>.</w:t>
      </w:r>
    </w:p>
    <w:p w14:paraId="7924E682" w14:textId="77777777" w:rsidR="005233C6" w:rsidRPr="00282BD2" w:rsidRDefault="005233C6" w:rsidP="0021328A">
      <w:pPr>
        <w:pStyle w:val="Default"/>
        <w:spacing w:after="80"/>
        <w:ind w:left="144" w:hanging="144"/>
        <w:jc w:val="both"/>
        <w:rPr>
          <w:rFonts w:ascii="Times New Roman" w:hAnsi="Times New Roman" w:cs="Times New Roman"/>
          <w:bCs/>
          <w:sz w:val="18"/>
          <w:szCs w:val="18"/>
        </w:rPr>
      </w:pPr>
      <w:r w:rsidRPr="00282BD2">
        <w:rPr>
          <w:rFonts w:ascii="Times New Roman" w:hAnsi="Times New Roman" w:cs="Times New Roman"/>
          <w:sz w:val="18"/>
          <w:szCs w:val="18"/>
        </w:rPr>
        <w:t xml:space="preserve">OECD (2012). </w:t>
      </w:r>
      <w:r w:rsidRPr="00282BD2">
        <w:rPr>
          <w:rFonts w:ascii="Times New Roman" w:hAnsi="Times New Roman" w:cs="Times New Roman"/>
          <w:bCs/>
          <w:i/>
          <w:sz w:val="18"/>
          <w:szCs w:val="18"/>
        </w:rPr>
        <w:t>Corporate reporting of intangible assets: A progress report.</w:t>
      </w:r>
      <w:r w:rsidRPr="00282BD2">
        <w:rPr>
          <w:rFonts w:ascii="Times New Roman" w:hAnsi="Times New Roman" w:cs="Times New Roman"/>
          <w:bCs/>
          <w:sz w:val="18"/>
          <w:szCs w:val="18"/>
        </w:rPr>
        <w:t xml:space="preserve"> </w:t>
      </w:r>
      <w:r w:rsidRPr="00282BD2">
        <w:rPr>
          <w:rFonts w:ascii="Times New Roman" w:hAnsi="Times New Roman" w:cs="Times New Roman"/>
          <w:sz w:val="18"/>
          <w:szCs w:val="18"/>
        </w:rPr>
        <w:t>Paris:</w:t>
      </w:r>
      <w:r w:rsidRPr="00282BD2">
        <w:rPr>
          <w:rFonts w:ascii="Times New Roman" w:hAnsi="Times New Roman" w:cs="Times New Roman"/>
          <w:i/>
          <w:sz w:val="18"/>
          <w:szCs w:val="18"/>
        </w:rPr>
        <w:t xml:space="preserve"> </w:t>
      </w:r>
      <w:proofErr w:type="spellStart"/>
      <w:r w:rsidRPr="00282BD2">
        <w:rPr>
          <w:rFonts w:ascii="Times New Roman" w:hAnsi="Times New Roman" w:cs="Times New Roman"/>
          <w:sz w:val="18"/>
          <w:szCs w:val="18"/>
        </w:rPr>
        <w:t>Organisation</w:t>
      </w:r>
      <w:proofErr w:type="spellEnd"/>
      <w:r w:rsidRPr="00282BD2">
        <w:rPr>
          <w:rFonts w:ascii="Times New Roman" w:hAnsi="Times New Roman" w:cs="Times New Roman"/>
          <w:sz w:val="18"/>
          <w:szCs w:val="18"/>
        </w:rPr>
        <w:t xml:space="preserve"> for Economic Co-operation and Development. </w:t>
      </w:r>
      <w:r w:rsidRPr="00282BD2">
        <w:rPr>
          <w:rFonts w:ascii="Times New Roman" w:hAnsi="Times New Roman" w:cs="Times New Roman"/>
          <w:bCs/>
          <w:sz w:val="18"/>
          <w:szCs w:val="18"/>
        </w:rPr>
        <w:t xml:space="preserve">Retrieved May 25, 2014, from </w:t>
      </w:r>
      <w:hyperlink r:id="rId42" w:history="1">
        <w:r w:rsidRPr="00282BD2">
          <w:rPr>
            <w:rStyle w:val="Hyperlink"/>
            <w:rFonts w:ascii="Times New Roman" w:hAnsi="Times New Roman" w:cs="Times New Roman"/>
            <w:bCs/>
            <w:sz w:val="18"/>
            <w:szCs w:val="18"/>
          </w:rPr>
          <w:t>http://www.oecd.org/daf/ca/corporatereportingofintangibleassetsaprogressreport.htm</w:t>
        </w:r>
      </w:hyperlink>
      <w:r w:rsidRPr="00282BD2">
        <w:rPr>
          <w:rFonts w:ascii="Times New Roman" w:hAnsi="Times New Roman" w:cs="Times New Roman"/>
          <w:bCs/>
          <w:sz w:val="18"/>
          <w:szCs w:val="18"/>
        </w:rPr>
        <w:t>.</w:t>
      </w:r>
    </w:p>
    <w:p w14:paraId="17AC0BAE" w14:textId="77777777" w:rsidR="005233C6" w:rsidRPr="00065F9B" w:rsidRDefault="005233C6" w:rsidP="0021328A">
      <w:pPr>
        <w:widowControl w:val="0"/>
        <w:autoSpaceDE w:val="0"/>
        <w:autoSpaceDN w:val="0"/>
        <w:adjustRightInd w:val="0"/>
        <w:ind w:left="144" w:hanging="144"/>
        <w:rPr>
          <w:i/>
          <w:sz w:val="18"/>
          <w:szCs w:val="18"/>
        </w:rPr>
      </w:pPr>
      <w:proofErr w:type="spellStart"/>
      <w:r w:rsidRPr="00065F9B">
        <w:rPr>
          <w:sz w:val="18"/>
          <w:szCs w:val="18"/>
        </w:rPr>
        <w:t>Parasuraman</w:t>
      </w:r>
      <w:proofErr w:type="spellEnd"/>
      <w:r w:rsidRPr="00065F9B">
        <w:rPr>
          <w:sz w:val="18"/>
          <w:szCs w:val="18"/>
        </w:rPr>
        <w:t xml:space="preserve">, A., </w:t>
      </w:r>
      <w:proofErr w:type="spellStart"/>
      <w:r w:rsidRPr="00065F9B">
        <w:rPr>
          <w:sz w:val="18"/>
          <w:szCs w:val="18"/>
        </w:rPr>
        <w:t>Zeithaml</w:t>
      </w:r>
      <w:proofErr w:type="spellEnd"/>
      <w:r w:rsidRPr="00065F9B">
        <w:rPr>
          <w:sz w:val="18"/>
          <w:szCs w:val="18"/>
        </w:rPr>
        <w:t xml:space="preserve">, V. A., &amp; Berry, L.  L. (1985). A conceptual model of service quality and its implications for future research. </w:t>
      </w:r>
      <w:r w:rsidRPr="00065F9B">
        <w:rPr>
          <w:i/>
          <w:sz w:val="18"/>
          <w:szCs w:val="18"/>
        </w:rPr>
        <w:t>Journal of Marketing</w:t>
      </w:r>
      <w:r w:rsidRPr="00065F9B">
        <w:rPr>
          <w:sz w:val="18"/>
          <w:szCs w:val="18"/>
        </w:rPr>
        <w:t xml:space="preserve">, </w:t>
      </w:r>
      <w:r w:rsidRPr="00065F9B">
        <w:rPr>
          <w:i/>
          <w:sz w:val="18"/>
          <w:szCs w:val="18"/>
        </w:rPr>
        <w:t>49</w:t>
      </w:r>
      <w:r w:rsidRPr="00065F9B">
        <w:rPr>
          <w:sz w:val="18"/>
          <w:szCs w:val="18"/>
        </w:rPr>
        <w:t xml:space="preserve">(4), 41-50. </w:t>
      </w:r>
      <w:proofErr w:type="spellStart"/>
      <w:r w:rsidRPr="00065F9B">
        <w:rPr>
          <w:sz w:val="18"/>
          <w:szCs w:val="18"/>
        </w:rPr>
        <w:t>doi</w:t>
      </w:r>
      <w:proofErr w:type="spellEnd"/>
      <w:r w:rsidRPr="00065F9B">
        <w:rPr>
          <w:sz w:val="18"/>
          <w:szCs w:val="18"/>
        </w:rPr>
        <w:t xml:space="preserve">: </w:t>
      </w:r>
      <w:hyperlink r:id="rId43" w:history="1">
        <w:r w:rsidRPr="00065F9B">
          <w:rPr>
            <w:sz w:val="18"/>
            <w:szCs w:val="18"/>
          </w:rPr>
          <w:t>10.2307/1251430</w:t>
        </w:r>
      </w:hyperlink>
      <w:r>
        <w:rPr>
          <w:sz w:val="18"/>
          <w:szCs w:val="18"/>
        </w:rPr>
        <w:t>.</w:t>
      </w:r>
      <w:r w:rsidRPr="00065F9B">
        <w:rPr>
          <w:sz w:val="18"/>
          <w:szCs w:val="18"/>
        </w:rPr>
        <w:t> </w:t>
      </w:r>
      <w:r w:rsidRPr="00065F9B">
        <w:rPr>
          <w:color w:val="343434"/>
          <w:sz w:val="18"/>
          <w:szCs w:val="18"/>
        </w:rPr>
        <w:t xml:space="preserve"> </w:t>
      </w:r>
    </w:p>
    <w:p w14:paraId="3E48CED4" w14:textId="77777777" w:rsidR="005233C6" w:rsidRPr="008054C6" w:rsidRDefault="005233C6" w:rsidP="0021328A">
      <w:pPr>
        <w:widowControl w:val="0"/>
        <w:autoSpaceDE w:val="0"/>
        <w:autoSpaceDN w:val="0"/>
        <w:adjustRightInd w:val="0"/>
        <w:ind w:left="144" w:hanging="144"/>
        <w:rPr>
          <w:rStyle w:val="Hyperlink"/>
          <w:sz w:val="18"/>
          <w:szCs w:val="18"/>
        </w:rPr>
      </w:pPr>
      <w:proofErr w:type="spellStart"/>
      <w:r w:rsidRPr="00065F9B">
        <w:rPr>
          <w:sz w:val="18"/>
          <w:szCs w:val="18"/>
        </w:rPr>
        <w:t>Pienaar</w:t>
      </w:r>
      <w:proofErr w:type="spellEnd"/>
      <w:r w:rsidRPr="00065F9B">
        <w:rPr>
          <w:sz w:val="18"/>
          <w:szCs w:val="18"/>
        </w:rPr>
        <w:t xml:space="preserve">, H., &amp; </w:t>
      </w:r>
      <w:proofErr w:type="spellStart"/>
      <w:r w:rsidRPr="00065F9B">
        <w:rPr>
          <w:sz w:val="18"/>
          <w:szCs w:val="18"/>
        </w:rPr>
        <w:t>Penzhorn</w:t>
      </w:r>
      <w:proofErr w:type="spellEnd"/>
      <w:r w:rsidRPr="00065F9B">
        <w:rPr>
          <w:sz w:val="18"/>
          <w:szCs w:val="18"/>
        </w:rPr>
        <w:t xml:space="preserve">, C. (2000). Using the balanced scorecard to facilitate strategic management at an academic information service. </w:t>
      </w:r>
      <w:proofErr w:type="spellStart"/>
      <w:r w:rsidRPr="00065F9B">
        <w:rPr>
          <w:i/>
          <w:sz w:val="18"/>
          <w:szCs w:val="18"/>
        </w:rPr>
        <w:t>Libri</w:t>
      </w:r>
      <w:proofErr w:type="spellEnd"/>
      <w:r w:rsidRPr="00065F9B">
        <w:rPr>
          <w:i/>
          <w:sz w:val="18"/>
          <w:szCs w:val="18"/>
        </w:rPr>
        <w:t>, 50</w:t>
      </w:r>
      <w:r w:rsidRPr="00065F9B">
        <w:rPr>
          <w:sz w:val="18"/>
          <w:szCs w:val="18"/>
        </w:rPr>
        <w:t xml:space="preserve">(3), 202-209. </w:t>
      </w:r>
      <w:proofErr w:type="spellStart"/>
      <w:r w:rsidRPr="008054C6">
        <w:rPr>
          <w:rStyle w:val="Hyperlink"/>
          <w:sz w:val="18"/>
          <w:szCs w:val="18"/>
        </w:rPr>
        <w:t>doi</w:t>
      </w:r>
      <w:proofErr w:type="spellEnd"/>
      <w:r w:rsidRPr="008054C6">
        <w:rPr>
          <w:rStyle w:val="Hyperlink"/>
          <w:sz w:val="18"/>
          <w:szCs w:val="18"/>
        </w:rPr>
        <w:t>: 10.1515/LIBR.2000.202</w:t>
      </w:r>
      <w:r>
        <w:rPr>
          <w:rStyle w:val="Hyperlink"/>
          <w:sz w:val="18"/>
          <w:szCs w:val="18"/>
        </w:rPr>
        <w:t>.</w:t>
      </w:r>
      <w:r>
        <w:rPr>
          <w:sz w:val="18"/>
          <w:szCs w:val="18"/>
        </w:rPr>
        <w:t xml:space="preserve"> </w:t>
      </w:r>
      <w:r w:rsidRPr="00065F9B">
        <w:rPr>
          <w:sz w:val="18"/>
          <w:szCs w:val="18"/>
        </w:rPr>
        <w:t xml:space="preserve">Retrieved May 25, 2014, from </w:t>
      </w:r>
      <w:hyperlink r:id="rId44" w:history="1">
        <w:r w:rsidRPr="00065F9B">
          <w:rPr>
            <w:rStyle w:val="Hyperlink"/>
            <w:sz w:val="18"/>
            <w:szCs w:val="18"/>
          </w:rPr>
          <w:t>http://www.librijournal.org/pdf/2000-3pp202-209.pdf</w:t>
        </w:r>
      </w:hyperlink>
      <w:r w:rsidRPr="00065F9B">
        <w:rPr>
          <w:rStyle w:val="Hyperlink"/>
          <w:sz w:val="18"/>
          <w:szCs w:val="18"/>
        </w:rPr>
        <w:t xml:space="preserve"> </w:t>
      </w:r>
      <w:r>
        <w:rPr>
          <w:rStyle w:val="Hyperlink"/>
          <w:sz w:val="18"/>
          <w:szCs w:val="18"/>
        </w:rPr>
        <w:t>.</w:t>
      </w:r>
    </w:p>
    <w:p w14:paraId="77EE268D" w14:textId="4BA4DC8F" w:rsidR="005233C6" w:rsidRPr="00065F9B" w:rsidRDefault="005233C6" w:rsidP="0021328A">
      <w:pPr>
        <w:ind w:left="144" w:hanging="144"/>
        <w:rPr>
          <w:sz w:val="18"/>
          <w:szCs w:val="18"/>
        </w:rPr>
      </w:pPr>
      <w:r w:rsidRPr="00065F9B">
        <w:rPr>
          <w:sz w:val="18"/>
          <w:szCs w:val="18"/>
        </w:rPr>
        <w:t xml:space="preserve">Pierce, J. B., &amp; Snyder, H. (2003). Measuring intellectual capital: A valuation strategy for libraries and information centers. </w:t>
      </w:r>
      <w:r w:rsidRPr="00065F9B">
        <w:rPr>
          <w:i/>
          <w:sz w:val="18"/>
          <w:szCs w:val="18"/>
        </w:rPr>
        <w:t>Library Administration &amp; Management, 17</w:t>
      </w:r>
      <w:r w:rsidRPr="00065F9B">
        <w:rPr>
          <w:sz w:val="18"/>
          <w:szCs w:val="18"/>
        </w:rPr>
        <w:t>(1), 28-32..</w:t>
      </w:r>
    </w:p>
    <w:p w14:paraId="5A6DBD35" w14:textId="77777777" w:rsidR="005233C6" w:rsidRDefault="005233C6" w:rsidP="0021328A">
      <w:pPr>
        <w:widowControl w:val="0"/>
        <w:autoSpaceDE w:val="0"/>
        <w:autoSpaceDN w:val="0"/>
        <w:adjustRightInd w:val="0"/>
        <w:ind w:left="144" w:hanging="144"/>
        <w:rPr>
          <w:color w:val="000000"/>
          <w:sz w:val="18"/>
          <w:szCs w:val="18"/>
        </w:rPr>
      </w:pPr>
      <w:r>
        <w:rPr>
          <w:color w:val="000000"/>
          <w:sz w:val="18"/>
          <w:szCs w:val="18"/>
        </w:rPr>
        <w:t xml:space="preserve">Putnam, R. D. (1995). Tuning in, tuning out: The strange disappearance of social capital in America. </w:t>
      </w:r>
      <w:r>
        <w:rPr>
          <w:i/>
          <w:color w:val="000000"/>
          <w:sz w:val="18"/>
          <w:szCs w:val="18"/>
        </w:rPr>
        <w:t>PS: Political Science &amp; Politics, 28</w:t>
      </w:r>
      <w:r>
        <w:rPr>
          <w:color w:val="000000"/>
          <w:sz w:val="18"/>
          <w:szCs w:val="18"/>
        </w:rPr>
        <w:t xml:space="preserve">(4), 664-683. </w:t>
      </w:r>
      <w:r w:rsidRPr="00B82258">
        <w:rPr>
          <w:rFonts w:ascii="Times" w:hAnsi="Times" w:cs="Times"/>
          <w:color w:val="434343"/>
          <w:sz w:val="18"/>
          <w:szCs w:val="18"/>
        </w:rPr>
        <w:t>doi:10.2307/420517</w:t>
      </w:r>
      <w:r>
        <w:rPr>
          <w:rFonts w:ascii="Times" w:hAnsi="Times" w:cs="Times"/>
          <w:color w:val="434343"/>
          <w:sz w:val="18"/>
          <w:szCs w:val="18"/>
        </w:rPr>
        <w:t xml:space="preserve">. </w:t>
      </w:r>
      <w:r>
        <w:rPr>
          <w:color w:val="000000"/>
          <w:sz w:val="18"/>
          <w:szCs w:val="18"/>
        </w:rPr>
        <w:t xml:space="preserve">Retrieved May 25, 2014, from </w:t>
      </w:r>
      <w:hyperlink r:id="rId45" w:history="1">
        <w:r w:rsidRPr="002D5604">
          <w:rPr>
            <w:rStyle w:val="Hyperlink"/>
            <w:sz w:val="18"/>
            <w:szCs w:val="18"/>
          </w:rPr>
          <w:t>http://apsanet3b.inetu.net/imgtest/PSDec95Putnam.pdf</w:t>
        </w:r>
      </w:hyperlink>
    </w:p>
    <w:p w14:paraId="0A24E219" w14:textId="55012178" w:rsidR="00F47E32" w:rsidRPr="00F47E32" w:rsidRDefault="00F47E32" w:rsidP="0021328A">
      <w:pPr>
        <w:pStyle w:val="NormalWeb"/>
        <w:spacing w:before="0" w:beforeAutospacing="0" w:after="80" w:afterAutospacing="0"/>
        <w:ind w:left="144" w:hanging="144"/>
        <w:jc w:val="both"/>
        <w:rPr>
          <w:rFonts w:ascii="Times New Roman" w:hAnsi="Times New Roman"/>
          <w:sz w:val="18"/>
          <w:szCs w:val="18"/>
        </w:rPr>
      </w:pPr>
      <w:proofErr w:type="spellStart"/>
      <w:r>
        <w:rPr>
          <w:rFonts w:ascii="Times New Roman" w:hAnsi="Times New Roman"/>
          <w:sz w:val="18"/>
          <w:szCs w:val="18"/>
        </w:rPr>
        <w:t>Puttnam</w:t>
      </w:r>
      <w:proofErr w:type="spellEnd"/>
      <w:r>
        <w:rPr>
          <w:rFonts w:ascii="Times New Roman" w:hAnsi="Times New Roman"/>
          <w:sz w:val="18"/>
          <w:szCs w:val="18"/>
        </w:rPr>
        <w:t xml:space="preserve">, R. D. (2000). </w:t>
      </w:r>
      <w:r>
        <w:rPr>
          <w:rFonts w:ascii="Times New Roman" w:hAnsi="Times New Roman"/>
          <w:i/>
          <w:sz w:val="18"/>
          <w:szCs w:val="18"/>
        </w:rPr>
        <w:t xml:space="preserve">Bowling alone: The collapse and revival of American community. </w:t>
      </w:r>
      <w:r>
        <w:rPr>
          <w:rFonts w:ascii="Times New Roman" w:hAnsi="Times New Roman"/>
          <w:sz w:val="18"/>
          <w:szCs w:val="18"/>
        </w:rPr>
        <w:t>New York: Simon &amp; Schuster</w:t>
      </w:r>
      <w:r w:rsidR="00EE4644">
        <w:rPr>
          <w:rFonts w:ascii="Times New Roman" w:hAnsi="Times New Roman"/>
          <w:sz w:val="18"/>
          <w:szCs w:val="18"/>
        </w:rPr>
        <w:t>.</w:t>
      </w:r>
    </w:p>
    <w:p w14:paraId="5E8609D2" w14:textId="4BED077A" w:rsidR="005233C6" w:rsidRPr="00065F9B" w:rsidRDefault="005233C6" w:rsidP="0021328A">
      <w:pPr>
        <w:ind w:left="144" w:hanging="144"/>
        <w:rPr>
          <w:sz w:val="18"/>
          <w:szCs w:val="18"/>
        </w:rPr>
      </w:pPr>
      <w:proofErr w:type="spellStart"/>
      <w:r w:rsidRPr="00232980">
        <w:rPr>
          <w:sz w:val="18"/>
          <w:szCs w:val="18"/>
        </w:rPr>
        <w:t>Ramírez</w:t>
      </w:r>
      <w:proofErr w:type="spellEnd"/>
      <w:r w:rsidRPr="00232980">
        <w:rPr>
          <w:sz w:val="18"/>
          <w:szCs w:val="18"/>
        </w:rPr>
        <w:t xml:space="preserve">, Y. (2010). Intellectual capital models in Spanish public sector. </w:t>
      </w:r>
      <w:r w:rsidRPr="00232980">
        <w:rPr>
          <w:i/>
          <w:sz w:val="18"/>
          <w:szCs w:val="18"/>
        </w:rPr>
        <w:t>Journal of Intellectual Capital, 11</w:t>
      </w:r>
      <w:r w:rsidRPr="00232980">
        <w:rPr>
          <w:sz w:val="18"/>
          <w:szCs w:val="18"/>
        </w:rPr>
        <w:t xml:space="preserve">(2), 248-264. </w:t>
      </w:r>
      <w:proofErr w:type="spellStart"/>
      <w:r w:rsidRPr="00232980">
        <w:rPr>
          <w:sz w:val="18"/>
          <w:szCs w:val="18"/>
        </w:rPr>
        <w:t>doi</w:t>
      </w:r>
      <w:proofErr w:type="spellEnd"/>
      <w:r w:rsidRPr="00232980">
        <w:rPr>
          <w:sz w:val="18"/>
          <w:szCs w:val="18"/>
        </w:rPr>
        <w:t xml:space="preserve">: </w:t>
      </w:r>
      <w:hyperlink r:id="rId46" w:history="1">
        <w:r w:rsidRPr="00232980">
          <w:rPr>
            <w:color w:val="224371"/>
            <w:sz w:val="18"/>
            <w:szCs w:val="18"/>
          </w:rPr>
          <w:t>10.1108/14691931011039705</w:t>
        </w:r>
      </w:hyperlink>
      <w:r w:rsidRPr="00065F9B">
        <w:rPr>
          <w:sz w:val="18"/>
          <w:szCs w:val="18"/>
        </w:rPr>
        <w:t>.</w:t>
      </w:r>
    </w:p>
    <w:p w14:paraId="5733963A" w14:textId="77777777" w:rsidR="005233C6" w:rsidRPr="00065F9B" w:rsidRDefault="005233C6" w:rsidP="0021328A">
      <w:pPr>
        <w:widowControl w:val="0"/>
        <w:autoSpaceDE w:val="0"/>
        <w:autoSpaceDN w:val="0"/>
        <w:adjustRightInd w:val="0"/>
        <w:ind w:left="144" w:hanging="144"/>
        <w:rPr>
          <w:sz w:val="18"/>
          <w:szCs w:val="18"/>
        </w:rPr>
      </w:pPr>
      <w:proofErr w:type="spellStart"/>
      <w:r w:rsidRPr="00065F9B">
        <w:rPr>
          <w:sz w:val="18"/>
          <w:szCs w:val="18"/>
        </w:rPr>
        <w:t>Roos</w:t>
      </w:r>
      <w:proofErr w:type="spellEnd"/>
      <w:r w:rsidRPr="00065F9B">
        <w:rPr>
          <w:sz w:val="18"/>
          <w:szCs w:val="18"/>
        </w:rPr>
        <w:t xml:space="preserve">, G., &amp; </w:t>
      </w:r>
      <w:proofErr w:type="spellStart"/>
      <w:r w:rsidRPr="00065F9B">
        <w:rPr>
          <w:sz w:val="18"/>
          <w:szCs w:val="18"/>
        </w:rPr>
        <w:t>Roos</w:t>
      </w:r>
      <w:proofErr w:type="spellEnd"/>
      <w:r w:rsidRPr="00065F9B">
        <w:rPr>
          <w:sz w:val="18"/>
          <w:szCs w:val="18"/>
        </w:rPr>
        <w:t xml:space="preserve">, J. (1997). Measuring your company’s intellectual performance. </w:t>
      </w:r>
      <w:r w:rsidRPr="00065F9B">
        <w:rPr>
          <w:i/>
          <w:sz w:val="18"/>
          <w:szCs w:val="18"/>
        </w:rPr>
        <w:t>Long Range Planning, 30</w:t>
      </w:r>
      <w:r w:rsidRPr="00065F9B">
        <w:rPr>
          <w:sz w:val="18"/>
          <w:szCs w:val="18"/>
        </w:rPr>
        <w:t xml:space="preserve">(3), 413-426. </w:t>
      </w:r>
      <w:proofErr w:type="spellStart"/>
      <w:r w:rsidRPr="00065F9B">
        <w:rPr>
          <w:sz w:val="18"/>
          <w:szCs w:val="18"/>
        </w:rPr>
        <w:t>doi</w:t>
      </w:r>
      <w:proofErr w:type="spellEnd"/>
      <w:r w:rsidRPr="00065F9B">
        <w:rPr>
          <w:sz w:val="18"/>
          <w:szCs w:val="18"/>
        </w:rPr>
        <w:t xml:space="preserve">: </w:t>
      </w:r>
      <w:r w:rsidRPr="00065F9B">
        <w:rPr>
          <w:rFonts w:eastAsia="Arial Unicode MS"/>
          <w:sz w:val="18"/>
          <w:szCs w:val="18"/>
        </w:rPr>
        <w:t>10.1016/S0024-6301(97)00022-8</w:t>
      </w:r>
      <w:r>
        <w:rPr>
          <w:rFonts w:eastAsia="Arial Unicode MS"/>
          <w:sz w:val="18"/>
          <w:szCs w:val="18"/>
        </w:rPr>
        <w:t>.</w:t>
      </w:r>
    </w:p>
    <w:p w14:paraId="71172036" w14:textId="77777777" w:rsidR="005233C6" w:rsidRPr="00065F9B" w:rsidRDefault="005233C6" w:rsidP="0021328A">
      <w:pPr>
        <w:pStyle w:val="NormalWeb"/>
        <w:spacing w:before="0" w:beforeAutospacing="0" w:after="80" w:afterAutospacing="0"/>
        <w:ind w:left="144" w:hanging="144"/>
        <w:jc w:val="both"/>
        <w:rPr>
          <w:rFonts w:ascii="Times New Roman" w:hAnsi="Times New Roman"/>
          <w:sz w:val="18"/>
          <w:szCs w:val="18"/>
        </w:rPr>
      </w:pPr>
      <w:proofErr w:type="spellStart"/>
      <w:r w:rsidRPr="00065F9B">
        <w:rPr>
          <w:rFonts w:ascii="Times New Roman" w:hAnsi="Times New Roman"/>
          <w:sz w:val="18"/>
          <w:szCs w:val="18"/>
        </w:rPr>
        <w:t>Roos</w:t>
      </w:r>
      <w:proofErr w:type="spellEnd"/>
      <w:r w:rsidRPr="00065F9B">
        <w:rPr>
          <w:rFonts w:ascii="Times New Roman" w:hAnsi="Times New Roman"/>
          <w:sz w:val="18"/>
          <w:szCs w:val="18"/>
        </w:rPr>
        <w:t xml:space="preserve">, J., </w:t>
      </w:r>
      <w:proofErr w:type="spellStart"/>
      <w:r w:rsidRPr="00065F9B">
        <w:rPr>
          <w:rFonts w:ascii="Times New Roman" w:hAnsi="Times New Roman"/>
          <w:sz w:val="18"/>
          <w:szCs w:val="18"/>
        </w:rPr>
        <w:t>Roos</w:t>
      </w:r>
      <w:proofErr w:type="spellEnd"/>
      <w:r w:rsidRPr="00065F9B">
        <w:rPr>
          <w:rFonts w:ascii="Times New Roman" w:hAnsi="Times New Roman"/>
          <w:sz w:val="18"/>
          <w:szCs w:val="18"/>
        </w:rPr>
        <w:t xml:space="preserve">, G., </w:t>
      </w:r>
      <w:proofErr w:type="spellStart"/>
      <w:r w:rsidRPr="00065F9B">
        <w:rPr>
          <w:rFonts w:ascii="Times New Roman" w:hAnsi="Times New Roman"/>
          <w:sz w:val="18"/>
          <w:szCs w:val="18"/>
        </w:rPr>
        <w:t>Dragonetti</w:t>
      </w:r>
      <w:proofErr w:type="spellEnd"/>
      <w:r w:rsidRPr="00065F9B">
        <w:rPr>
          <w:rFonts w:ascii="Times New Roman" w:hAnsi="Times New Roman"/>
          <w:sz w:val="18"/>
          <w:szCs w:val="18"/>
        </w:rPr>
        <w:t xml:space="preserve">, N., &amp; </w:t>
      </w:r>
      <w:proofErr w:type="spellStart"/>
      <w:r w:rsidRPr="00065F9B">
        <w:rPr>
          <w:rFonts w:ascii="Times New Roman" w:hAnsi="Times New Roman"/>
          <w:sz w:val="18"/>
          <w:szCs w:val="18"/>
        </w:rPr>
        <w:t>Edvinsson</w:t>
      </w:r>
      <w:proofErr w:type="spellEnd"/>
      <w:r w:rsidRPr="00065F9B">
        <w:rPr>
          <w:rFonts w:ascii="Times New Roman" w:hAnsi="Times New Roman"/>
          <w:sz w:val="18"/>
          <w:szCs w:val="18"/>
        </w:rPr>
        <w:t xml:space="preserve">, L. (1997). </w:t>
      </w:r>
      <w:r w:rsidRPr="00065F9B">
        <w:rPr>
          <w:rFonts w:ascii="Times New Roman" w:hAnsi="Times New Roman"/>
          <w:i/>
          <w:sz w:val="18"/>
          <w:szCs w:val="18"/>
        </w:rPr>
        <w:t>Intellectual capital: Navigating in the new business landscape.</w:t>
      </w:r>
      <w:r>
        <w:rPr>
          <w:rFonts w:ascii="Times New Roman" w:hAnsi="Times New Roman"/>
          <w:sz w:val="18"/>
          <w:szCs w:val="18"/>
        </w:rPr>
        <w:t xml:space="preserve"> London: MacMill</w:t>
      </w:r>
      <w:r w:rsidRPr="00065F9B">
        <w:rPr>
          <w:rFonts w:ascii="Times New Roman" w:hAnsi="Times New Roman"/>
          <w:sz w:val="18"/>
          <w:szCs w:val="18"/>
        </w:rPr>
        <w:t xml:space="preserve">an Business. </w:t>
      </w:r>
    </w:p>
    <w:p w14:paraId="60801B4B" w14:textId="77777777" w:rsidR="005233C6" w:rsidRPr="00065F9B" w:rsidRDefault="005233C6" w:rsidP="0021328A">
      <w:pPr>
        <w:widowControl w:val="0"/>
        <w:autoSpaceDE w:val="0"/>
        <w:autoSpaceDN w:val="0"/>
        <w:adjustRightInd w:val="0"/>
        <w:ind w:left="144" w:hanging="144"/>
        <w:rPr>
          <w:sz w:val="18"/>
          <w:szCs w:val="18"/>
        </w:rPr>
      </w:pPr>
      <w:r w:rsidRPr="00065F9B">
        <w:rPr>
          <w:sz w:val="18"/>
          <w:szCs w:val="18"/>
        </w:rPr>
        <w:t xml:space="preserve">Snyder, H. W., &amp; Pierce, J. B. (2002). Intellectual capital. </w:t>
      </w:r>
      <w:r w:rsidRPr="00065F9B">
        <w:rPr>
          <w:i/>
          <w:sz w:val="18"/>
          <w:szCs w:val="18"/>
        </w:rPr>
        <w:t xml:space="preserve">Annual Review of Information Science and Technology, 36, </w:t>
      </w:r>
      <w:r w:rsidRPr="00065F9B">
        <w:rPr>
          <w:sz w:val="18"/>
          <w:szCs w:val="18"/>
        </w:rPr>
        <w:t xml:space="preserve">467-500. </w:t>
      </w:r>
      <w:proofErr w:type="spellStart"/>
      <w:r w:rsidRPr="00065F9B">
        <w:rPr>
          <w:sz w:val="18"/>
          <w:szCs w:val="18"/>
        </w:rPr>
        <w:t>doi</w:t>
      </w:r>
      <w:proofErr w:type="spellEnd"/>
      <w:r w:rsidRPr="00065F9B">
        <w:rPr>
          <w:sz w:val="18"/>
          <w:szCs w:val="18"/>
        </w:rPr>
        <w:t>: 10.1002/aris.1440360112</w:t>
      </w:r>
      <w:r>
        <w:rPr>
          <w:sz w:val="18"/>
          <w:szCs w:val="18"/>
        </w:rPr>
        <w:t>.</w:t>
      </w:r>
    </w:p>
    <w:p w14:paraId="2DA403FC" w14:textId="77777777" w:rsidR="005233C6" w:rsidRPr="00065F9B" w:rsidRDefault="005233C6" w:rsidP="0021328A">
      <w:pPr>
        <w:widowControl w:val="0"/>
        <w:autoSpaceDE w:val="0"/>
        <w:autoSpaceDN w:val="0"/>
        <w:adjustRightInd w:val="0"/>
        <w:ind w:left="144" w:hanging="144"/>
        <w:rPr>
          <w:rFonts w:eastAsia="Cambria"/>
          <w:bCs/>
          <w:sz w:val="18"/>
          <w:szCs w:val="18"/>
        </w:rPr>
      </w:pPr>
      <w:proofErr w:type="spellStart"/>
      <w:r w:rsidRPr="00065F9B">
        <w:rPr>
          <w:rFonts w:eastAsia="Cambria"/>
          <w:bCs/>
          <w:sz w:val="18"/>
          <w:szCs w:val="18"/>
        </w:rPr>
        <w:t>Sriborisutsakul</w:t>
      </w:r>
      <w:proofErr w:type="spellEnd"/>
      <w:r w:rsidRPr="00065F9B">
        <w:rPr>
          <w:rFonts w:eastAsia="Cambria"/>
          <w:bCs/>
          <w:sz w:val="18"/>
          <w:szCs w:val="18"/>
        </w:rPr>
        <w:t xml:space="preserve">, S. (2010). </w:t>
      </w:r>
      <w:r w:rsidRPr="00065F9B">
        <w:rPr>
          <w:rFonts w:eastAsia="Cambria"/>
          <w:bCs/>
          <w:i/>
          <w:sz w:val="18"/>
          <w:szCs w:val="18"/>
        </w:rPr>
        <w:t xml:space="preserve">Developing performance indicators to evaluate organizational intellectual assets of Thai academic libraries </w:t>
      </w:r>
      <w:r w:rsidRPr="00065F9B">
        <w:rPr>
          <w:rFonts w:eastAsia="Cambria"/>
          <w:bCs/>
          <w:sz w:val="18"/>
          <w:szCs w:val="18"/>
        </w:rPr>
        <w:t>(Unpublished PhD thesis). University of Sheffield, UK.</w:t>
      </w:r>
    </w:p>
    <w:p w14:paraId="08399811" w14:textId="77777777" w:rsidR="005233C6" w:rsidRPr="00065F9B" w:rsidRDefault="005233C6" w:rsidP="0021328A">
      <w:pPr>
        <w:widowControl w:val="0"/>
        <w:autoSpaceDE w:val="0"/>
        <w:autoSpaceDN w:val="0"/>
        <w:adjustRightInd w:val="0"/>
        <w:ind w:left="144" w:hanging="144"/>
        <w:rPr>
          <w:rFonts w:eastAsia="Cambria"/>
          <w:bCs/>
          <w:sz w:val="18"/>
          <w:szCs w:val="18"/>
        </w:rPr>
      </w:pPr>
      <w:r w:rsidRPr="00065F9B">
        <w:rPr>
          <w:rFonts w:eastAsia="Cambria"/>
          <w:bCs/>
          <w:sz w:val="18"/>
          <w:szCs w:val="18"/>
        </w:rPr>
        <w:t xml:space="preserve">Stewart, T. A. (1997). </w:t>
      </w:r>
      <w:r w:rsidRPr="00065F9B">
        <w:rPr>
          <w:rFonts w:eastAsia="Cambria"/>
          <w:bCs/>
          <w:i/>
          <w:sz w:val="18"/>
          <w:szCs w:val="18"/>
        </w:rPr>
        <w:t xml:space="preserve">Intellectual capital: The new wealth of organizations. </w:t>
      </w:r>
      <w:r w:rsidRPr="00065F9B">
        <w:rPr>
          <w:rFonts w:eastAsia="Cambria"/>
          <w:bCs/>
          <w:sz w:val="18"/>
          <w:szCs w:val="18"/>
        </w:rPr>
        <w:t>New York: Doubleday.</w:t>
      </w:r>
    </w:p>
    <w:p w14:paraId="1634EAF0" w14:textId="77777777" w:rsidR="005233C6" w:rsidRPr="00065F9B" w:rsidRDefault="005233C6" w:rsidP="0021328A">
      <w:pPr>
        <w:widowControl w:val="0"/>
        <w:autoSpaceDE w:val="0"/>
        <w:autoSpaceDN w:val="0"/>
        <w:adjustRightInd w:val="0"/>
        <w:ind w:left="144" w:hanging="144"/>
        <w:rPr>
          <w:sz w:val="18"/>
          <w:szCs w:val="18"/>
        </w:rPr>
      </w:pPr>
      <w:proofErr w:type="spellStart"/>
      <w:r w:rsidRPr="00065F9B">
        <w:rPr>
          <w:sz w:val="18"/>
          <w:szCs w:val="18"/>
        </w:rPr>
        <w:t>Sveiby</w:t>
      </w:r>
      <w:proofErr w:type="spellEnd"/>
      <w:r w:rsidRPr="00065F9B">
        <w:rPr>
          <w:sz w:val="18"/>
          <w:szCs w:val="18"/>
        </w:rPr>
        <w:t xml:space="preserve">, K. E. (1997) The intangible assets monitor. </w:t>
      </w:r>
      <w:r w:rsidRPr="00065F9B">
        <w:rPr>
          <w:i/>
          <w:sz w:val="18"/>
          <w:szCs w:val="18"/>
        </w:rPr>
        <w:t>Journal of Human Resource Costing and Accounting, 2</w:t>
      </w:r>
      <w:r w:rsidRPr="00065F9B">
        <w:rPr>
          <w:sz w:val="18"/>
          <w:szCs w:val="18"/>
        </w:rPr>
        <w:t xml:space="preserve">(1), 73-97. </w:t>
      </w:r>
      <w:proofErr w:type="spellStart"/>
      <w:r w:rsidRPr="00065F9B">
        <w:rPr>
          <w:sz w:val="18"/>
          <w:szCs w:val="18"/>
        </w:rPr>
        <w:t>doi</w:t>
      </w:r>
      <w:proofErr w:type="spellEnd"/>
      <w:r w:rsidRPr="00065F9B">
        <w:rPr>
          <w:sz w:val="18"/>
          <w:szCs w:val="18"/>
        </w:rPr>
        <w:t>: 10.1108/eb029036</w:t>
      </w:r>
      <w:r>
        <w:rPr>
          <w:sz w:val="18"/>
          <w:szCs w:val="18"/>
        </w:rPr>
        <w:t>.</w:t>
      </w:r>
    </w:p>
    <w:p w14:paraId="1686D9D3" w14:textId="618276FB" w:rsidR="00644263" w:rsidRDefault="00644263" w:rsidP="0021328A">
      <w:pPr>
        <w:widowControl w:val="0"/>
        <w:autoSpaceDE w:val="0"/>
        <w:autoSpaceDN w:val="0"/>
        <w:adjustRightInd w:val="0"/>
        <w:ind w:left="144" w:hanging="144"/>
        <w:rPr>
          <w:sz w:val="18"/>
          <w:szCs w:val="18"/>
        </w:rPr>
      </w:pPr>
      <w:proofErr w:type="spellStart"/>
      <w:r>
        <w:rPr>
          <w:sz w:val="18"/>
          <w:szCs w:val="18"/>
        </w:rPr>
        <w:t>Sveiby</w:t>
      </w:r>
      <w:proofErr w:type="spellEnd"/>
      <w:r>
        <w:rPr>
          <w:sz w:val="18"/>
          <w:szCs w:val="18"/>
        </w:rPr>
        <w:t>, K.</w:t>
      </w:r>
      <w:r w:rsidR="00550102">
        <w:rPr>
          <w:sz w:val="18"/>
          <w:szCs w:val="18"/>
        </w:rPr>
        <w:t xml:space="preserve"> </w:t>
      </w:r>
      <w:r w:rsidR="0046526B">
        <w:rPr>
          <w:sz w:val="18"/>
          <w:szCs w:val="18"/>
        </w:rPr>
        <w:t>E.</w:t>
      </w:r>
      <w:r>
        <w:rPr>
          <w:sz w:val="18"/>
          <w:szCs w:val="18"/>
        </w:rPr>
        <w:t xml:space="preserve"> (2001).</w:t>
      </w:r>
      <w:r w:rsidR="00E52720">
        <w:rPr>
          <w:sz w:val="18"/>
          <w:szCs w:val="18"/>
        </w:rPr>
        <w:t xml:space="preserve"> A knowledge-based theory of the firm to guide in strategy formulation</w:t>
      </w:r>
      <w:r w:rsidR="0046526B">
        <w:rPr>
          <w:sz w:val="18"/>
          <w:szCs w:val="18"/>
        </w:rPr>
        <w:t>.</w:t>
      </w:r>
      <w:r>
        <w:rPr>
          <w:sz w:val="18"/>
          <w:szCs w:val="18"/>
        </w:rPr>
        <w:t xml:space="preserve"> </w:t>
      </w:r>
      <w:r>
        <w:rPr>
          <w:i/>
          <w:sz w:val="18"/>
          <w:szCs w:val="18"/>
        </w:rPr>
        <w:t xml:space="preserve">Journal of Intellectual Capital, </w:t>
      </w:r>
      <w:r w:rsidR="00E52720">
        <w:rPr>
          <w:i/>
          <w:sz w:val="18"/>
          <w:szCs w:val="18"/>
        </w:rPr>
        <w:t>2</w:t>
      </w:r>
      <w:r w:rsidR="00E52720">
        <w:rPr>
          <w:sz w:val="18"/>
          <w:szCs w:val="18"/>
        </w:rPr>
        <w:t xml:space="preserve">(4), 344-358. </w:t>
      </w:r>
      <w:proofErr w:type="spellStart"/>
      <w:r w:rsidR="00E52720">
        <w:rPr>
          <w:sz w:val="18"/>
          <w:szCs w:val="18"/>
        </w:rPr>
        <w:t>doi</w:t>
      </w:r>
      <w:proofErr w:type="spellEnd"/>
      <w:r w:rsidR="00E52720">
        <w:rPr>
          <w:sz w:val="18"/>
          <w:szCs w:val="18"/>
        </w:rPr>
        <w:t xml:space="preserve">: </w:t>
      </w:r>
      <w:r w:rsidR="0046526B">
        <w:rPr>
          <w:sz w:val="18"/>
          <w:szCs w:val="18"/>
        </w:rPr>
        <w:t>10.1108/</w:t>
      </w:r>
      <w:r w:rsidR="00550102">
        <w:rPr>
          <w:sz w:val="18"/>
          <w:szCs w:val="18"/>
        </w:rPr>
        <w:t>14691930110409651.</w:t>
      </w:r>
    </w:p>
    <w:p w14:paraId="0725ACE4" w14:textId="77777777" w:rsidR="005233C6" w:rsidRPr="00065F9B" w:rsidRDefault="005233C6" w:rsidP="0021328A">
      <w:pPr>
        <w:widowControl w:val="0"/>
        <w:autoSpaceDE w:val="0"/>
        <w:autoSpaceDN w:val="0"/>
        <w:adjustRightInd w:val="0"/>
        <w:ind w:left="144" w:hanging="144"/>
        <w:rPr>
          <w:bCs/>
          <w:sz w:val="18"/>
          <w:szCs w:val="18"/>
        </w:rPr>
      </w:pPr>
      <w:proofErr w:type="spellStart"/>
      <w:r w:rsidRPr="00065F9B">
        <w:rPr>
          <w:sz w:val="18"/>
          <w:szCs w:val="18"/>
        </w:rPr>
        <w:t>Svendsen</w:t>
      </w:r>
      <w:proofErr w:type="spellEnd"/>
      <w:r w:rsidRPr="00065F9B">
        <w:rPr>
          <w:sz w:val="18"/>
          <w:szCs w:val="18"/>
        </w:rPr>
        <w:t xml:space="preserve">, G. L. H. (2013). </w:t>
      </w:r>
      <w:r w:rsidRPr="00065F9B">
        <w:rPr>
          <w:bCs/>
          <w:sz w:val="18"/>
          <w:szCs w:val="18"/>
        </w:rPr>
        <w:t xml:space="preserve">Public libraries as breeding grounds for bonding, bridging and institutional social capital: The case of branch libraries in rural Denmark. </w:t>
      </w:r>
      <w:proofErr w:type="spellStart"/>
      <w:r w:rsidRPr="00065F9B">
        <w:rPr>
          <w:i/>
          <w:sz w:val="18"/>
          <w:szCs w:val="18"/>
        </w:rPr>
        <w:t>Sociologia</w:t>
      </w:r>
      <w:proofErr w:type="spellEnd"/>
      <w:r w:rsidRPr="00065F9B">
        <w:rPr>
          <w:i/>
          <w:sz w:val="18"/>
          <w:szCs w:val="18"/>
        </w:rPr>
        <w:t xml:space="preserve"> </w:t>
      </w:r>
      <w:proofErr w:type="spellStart"/>
      <w:r w:rsidRPr="00065F9B">
        <w:rPr>
          <w:i/>
          <w:sz w:val="18"/>
          <w:szCs w:val="18"/>
        </w:rPr>
        <w:t>Ruralis</w:t>
      </w:r>
      <w:proofErr w:type="spellEnd"/>
      <w:r w:rsidRPr="00065F9B">
        <w:rPr>
          <w:i/>
          <w:sz w:val="18"/>
          <w:szCs w:val="18"/>
        </w:rPr>
        <w:t>, 53</w:t>
      </w:r>
      <w:r w:rsidRPr="00065F9B">
        <w:rPr>
          <w:sz w:val="18"/>
          <w:szCs w:val="18"/>
        </w:rPr>
        <w:t xml:space="preserve">(1), 52-73. </w:t>
      </w:r>
      <w:proofErr w:type="spellStart"/>
      <w:r w:rsidRPr="00065F9B">
        <w:rPr>
          <w:sz w:val="18"/>
          <w:szCs w:val="18"/>
        </w:rPr>
        <w:t>doi</w:t>
      </w:r>
      <w:proofErr w:type="spellEnd"/>
      <w:r w:rsidRPr="00065F9B">
        <w:rPr>
          <w:sz w:val="18"/>
          <w:szCs w:val="18"/>
        </w:rPr>
        <w:t>: 10.1111/soru.12002</w:t>
      </w:r>
      <w:r>
        <w:rPr>
          <w:sz w:val="18"/>
          <w:szCs w:val="18"/>
        </w:rPr>
        <w:t>.</w:t>
      </w:r>
    </w:p>
    <w:p w14:paraId="4B66670B" w14:textId="77777777" w:rsidR="005233C6" w:rsidRPr="00DA603F" w:rsidRDefault="005233C6" w:rsidP="0021328A">
      <w:pPr>
        <w:widowControl w:val="0"/>
        <w:autoSpaceDE w:val="0"/>
        <w:autoSpaceDN w:val="0"/>
        <w:adjustRightInd w:val="0"/>
        <w:ind w:left="144" w:hanging="144"/>
        <w:rPr>
          <w:color w:val="000000"/>
          <w:sz w:val="18"/>
          <w:szCs w:val="18"/>
        </w:rPr>
      </w:pPr>
      <w:r w:rsidRPr="00DA603F">
        <w:rPr>
          <w:color w:val="1A1A1A"/>
          <w:sz w:val="18"/>
          <w:szCs w:val="18"/>
        </w:rPr>
        <w:t xml:space="preserve">Tan, H. P., Plowman, D., &amp; Hancock, P. (2008). The evolving research on intellectual capital. </w:t>
      </w:r>
      <w:r w:rsidRPr="00DA603F">
        <w:rPr>
          <w:i/>
          <w:iCs/>
          <w:color w:val="1A1A1A"/>
          <w:sz w:val="18"/>
          <w:szCs w:val="18"/>
        </w:rPr>
        <w:t>Journal of Intellectual Capital</w:t>
      </w:r>
      <w:r w:rsidRPr="00DA603F">
        <w:rPr>
          <w:color w:val="1A1A1A"/>
          <w:sz w:val="18"/>
          <w:szCs w:val="18"/>
        </w:rPr>
        <w:t xml:space="preserve">, </w:t>
      </w:r>
      <w:r w:rsidRPr="00DA603F">
        <w:rPr>
          <w:i/>
          <w:iCs/>
          <w:color w:val="1A1A1A"/>
          <w:sz w:val="18"/>
          <w:szCs w:val="18"/>
        </w:rPr>
        <w:t>9</w:t>
      </w:r>
      <w:r w:rsidRPr="00DA603F">
        <w:rPr>
          <w:color w:val="1A1A1A"/>
          <w:sz w:val="18"/>
          <w:szCs w:val="18"/>
        </w:rPr>
        <w:t>(4), 585-608.</w:t>
      </w:r>
      <w:r w:rsidRPr="00DA603F">
        <w:rPr>
          <w:sz w:val="18"/>
          <w:szCs w:val="18"/>
        </w:rPr>
        <w:t>doi: 10.1108/14691930810913177.</w:t>
      </w:r>
    </w:p>
    <w:p w14:paraId="3AD15B88" w14:textId="77777777" w:rsidR="005233C6" w:rsidRPr="00065F9B" w:rsidRDefault="005233C6" w:rsidP="0021328A">
      <w:pPr>
        <w:widowControl w:val="0"/>
        <w:autoSpaceDE w:val="0"/>
        <w:autoSpaceDN w:val="0"/>
        <w:adjustRightInd w:val="0"/>
        <w:ind w:left="144" w:hanging="144"/>
        <w:rPr>
          <w:bCs/>
          <w:sz w:val="18"/>
          <w:szCs w:val="18"/>
        </w:rPr>
      </w:pPr>
      <w:r w:rsidRPr="00065F9B">
        <w:rPr>
          <w:sz w:val="18"/>
          <w:szCs w:val="18"/>
        </w:rPr>
        <w:t>Taylor, M. (2012). Strategy development at the Univ</w:t>
      </w:r>
      <w:r>
        <w:rPr>
          <w:sz w:val="18"/>
          <w:szCs w:val="18"/>
        </w:rPr>
        <w:t>ersity of Texas Libraries utiliz</w:t>
      </w:r>
      <w:r w:rsidRPr="00065F9B">
        <w:rPr>
          <w:sz w:val="18"/>
          <w:szCs w:val="18"/>
        </w:rPr>
        <w:t xml:space="preserve">ing the Balanced Scorecard. In I. Hall, S. Thornton &amp; S. Town (Eds.), </w:t>
      </w:r>
      <w:r w:rsidRPr="00065F9B">
        <w:rPr>
          <w:i/>
          <w:sz w:val="18"/>
          <w:szCs w:val="18"/>
        </w:rPr>
        <w:t xml:space="preserve">Proving value in challenging times: Proceedings </w:t>
      </w:r>
      <w:r w:rsidRPr="00065F9B">
        <w:rPr>
          <w:bCs/>
          <w:i/>
          <w:sz w:val="18"/>
          <w:szCs w:val="18"/>
        </w:rPr>
        <w:t xml:space="preserve">of the 9th </w:t>
      </w:r>
      <w:proofErr w:type="spellStart"/>
      <w:r w:rsidRPr="00065F9B">
        <w:rPr>
          <w:bCs/>
          <w:i/>
          <w:sz w:val="18"/>
          <w:szCs w:val="18"/>
        </w:rPr>
        <w:t>Northumbria</w:t>
      </w:r>
      <w:proofErr w:type="spellEnd"/>
      <w:r w:rsidRPr="00065F9B">
        <w:rPr>
          <w:bCs/>
          <w:i/>
          <w:sz w:val="18"/>
          <w:szCs w:val="18"/>
        </w:rPr>
        <w:t xml:space="preserve"> International Conference on Performance Measurement in Libraries and Information Services, York, UK, August 22-26, 2011</w:t>
      </w:r>
      <w:r w:rsidRPr="00065F9B">
        <w:rPr>
          <w:sz w:val="18"/>
          <w:szCs w:val="18"/>
        </w:rPr>
        <w:t xml:space="preserve"> (pp. 397-401). </w:t>
      </w:r>
      <w:r w:rsidRPr="00065F9B">
        <w:rPr>
          <w:bCs/>
          <w:sz w:val="18"/>
          <w:szCs w:val="18"/>
        </w:rPr>
        <w:t xml:space="preserve">York, UK: University of York. Retrieved May 25, 2014, from </w:t>
      </w:r>
      <w:hyperlink r:id="rId47" w:history="1">
        <w:r w:rsidRPr="00065F9B">
          <w:rPr>
            <w:rStyle w:val="Hyperlink"/>
            <w:bCs/>
            <w:sz w:val="18"/>
            <w:szCs w:val="18"/>
          </w:rPr>
          <w:t>http://www.york.ac.uk/about/departments/support-and-admin/information-directorate/northumbria-conference/9th-conference/proceedings/</w:t>
        </w:r>
      </w:hyperlink>
      <w:r w:rsidRPr="00065F9B">
        <w:rPr>
          <w:bCs/>
          <w:sz w:val="18"/>
          <w:szCs w:val="18"/>
        </w:rPr>
        <w:t>.</w:t>
      </w:r>
    </w:p>
    <w:p w14:paraId="0CB13199" w14:textId="77777777" w:rsidR="005233C6" w:rsidRPr="00065F9B" w:rsidRDefault="005233C6" w:rsidP="0021328A">
      <w:pPr>
        <w:pStyle w:val="NormalWeb"/>
        <w:spacing w:before="0" w:beforeAutospacing="0" w:after="80" w:afterAutospacing="0"/>
        <w:ind w:left="144" w:hanging="144"/>
        <w:jc w:val="both"/>
        <w:rPr>
          <w:rFonts w:ascii="Times New Roman" w:hAnsi="Times New Roman"/>
          <w:bCs/>
          <w:sz w:val="18"/>
          <w:szCs w:val="18"/>
        </w:rPr>
      </w:pPr>
      <w:proofErr w:type="spellStart"/>
      <w:r w:rsidRPr="00065F9B">
        <w:rPr>
          <w:rFonts w:ascii="Times New Roman" w:hAnsi="Times New Roman"/>
          <w:color w:val="262626"/>
          <w:sz w:val="18"/>
          <w:szCs w:val="18"/>
        </w:rPr>
        <w:t>Tenopir</w:t>
      </w:r>
      <w:proofErr w:type="spellEnd"/>
      <w:r w:rsidRPr="00065F9B">
        <w:rPr>
          <w:rFonts w:ascii="Times New Roman" w:hAnsi="Times New Roman"/>
          <w:color w:val="262626"/>
          <w:sz w:val="18"/>
          <w:szCs w:val="18"/>
        </w:rPr>
        <w:t xml:space="preserve">, C., King, D., Mays, R., Wu, L., &amp; Baer, A. (2010). </w:t>
      </w:r>
      <w:r w:rsidRPr="00065F9B">
        <w:rPr>
          <w:rFonts w:ascii="Times New Roman" w:hAnsi="Times New Roman"/>
          <w:bCs/>
          <w:sz w:val="18"/>
          <w:szCs w:val="18"/>
        </w:rPr>
        <w:t xml:space="preserve">Measuring value and return on investment of academic libraries. </w:t>
      </w:r>
      <w:r w:rsidRPr="00065F9B">
        <w:rPr>
          <w:rFonts w:ascii="Times New Roman" w:hAnsi="Times New Roman"/>
          <w:bCs/>
          <w:i/>
          <w:sz w:val="18"/>
          <w:szCs w:val="18"/>
        </w:rPr>
        <w:t xml:space="preserve">Serials, </w:t>
      </w:r>
      <w:r w:rsidRPr="00065F9B">
        <w:rPr>
          <w:rFonts w:ascii="Times New Roman" w:hAnsi="Times New Roman"/>
          <w:bCs/>
          <w:sz w:val="18"/>
          <w:szCs w:val="18"/>
        </w:rPr>
        <w:t xml:space="preserve">23(3), 182-190. Retrieved May 25, 2014, from </w:t>
      </w:r>
      <w:hyperlink r:id="rId48" w:history="1">
        <w:r w:rsidRPr="00065F9B">
          <w:rPr>
            <w:rStyle w:val="Hyperlink"/>
            <w:rFonts w:ascii="Times New Roman" w:hAnsi="Times New Roman"/>
            <w:bCs/>
            <w:sz w:val="18"/>
            <w:szCs w:val="18"/>
          </w:rPr>
          <w:t>http://uksg.metapress.com/content/k477161477t9573g/fulltext.pdf</w:t>
        </w:r>
      </w:hyperlink>
      <w:r w:rsidRPr="00065F9B">
        <w:rPr>
          <w:rFonts w:ascii="Times New Roman" w:hAnsi="Times New Roman"/>
          <w:bCs/>
          <w:sz w:val="18"/>
          <w:szCs w:val="18"/>
        </w:rPr>
        <w:t xml:space="preserve">. </w:t>
      </w:r>
      <w:proofErr w:type="spellStart"/>
      <w:r w:rsidRPr="00065F9B">
        <w:rPr>
          <w:rFonts w:ascii="Times New Roman" w:hAnsi="Times New Roman"/>
          <w:bCs/>
          <w:sz w:val="18"/>
          <w:szCs w:val="18"/>
        </w:rPr>
        <w:t>doi</w:t>
      </w:r>
      <w:proofErr w:type="spellEnd"/>
      <w:r w:rsidRPr="00065F9B">
        <w:rPr>
          <w:rFonts w:ascii="Times New Roman" w:hAnsi="Times New Roman"/>
          <w:bCs/>
          <w:sz w:val="18"/>
          <w:szCs w:val="18"/>
        </w:rPr>
        <w:t xml:space="preserve">: </w:t>
      </w:r>
      <w:r w:rsidRPr="00065F9B">
        <w:rPr>
          <w:rFonts w:ascii="Times New Roman" w:hAnsi="Times New Roman"/>
          <w:color w:val="262626"/>
          <w:sz w:val="18"/>
          <w:szCs w:val="18"/>
        </w:rPr>
        <w:t>10.1629/23182</w:t>
      </w:r>
      <w:r>
        <w:rPr>
          <w:rFonts w:ascii="Times New Roman" w:hAnsi="Times New Roman"/>
          <w:color w:val="262626"/>
          <w:sz w:val="18"/>
          <w:szCs w:val="18"/>
        </w:rPr>
        <w:t>.</w:t>
      </w:r>
    </w:p>
    <w:p w14:paraId="04C86F1C" w14:textId="77777777" w:rsidR="005233C6" w:rsidRPr="00065F9B" w:rsidRDefault="005233C6" w:rsidP="0021328A">
      <w:pPr>
        <w:widowControl w:val="0"/>
        <w:autoSpaceDE w:val="0"/>
        <w:autoSpaceDN w:val="0"/>
        <w:adjustRightInd w:val="0"/>
        <w:ind w:left="144" w:hanging="144"/>
        <w:rPr>
          <w:sz w:val="18"/>
          <w:szCs w:val="18"/>
        </w:rPr>
      </w:pPr>
      <w:r w:rsidRPr="00065F9B">
        <w:rPr>
          <w:sz w:val="18"/>
          <w:szCs w:val="18"/>
        </w:rPr>
        <w:t xml:space="preserve">Town, J. S. (2011). Value, impact, and the transcendent library: Progress and pressures in performance measurement and evaluation. </w:t>
      </w:r>
      <w:r w:rsidRPr="00065F9B">
        <w:rPr>
          <w:i/>
          <w:sz w:val="18"/>
          <w:szCs w:val="18"/>
        </w:rPr>
        <w:t>Library Quarterly,</w:t>
      </w:r>
      <w:r w:rsidRPr="00065F9B">
        <w:rPr>
          <w:sz w:val="18"/>
          <w:szCs w:val="18"/>
        </w:rPr>
        <w:t>81(1),</w:t>
      </w:r>
      <w:r w:rsidRPr="00065F9B">
        <w:rPr>
          <w:i/>
          <w:sz w:val="18"/>
          <w:szCs w:val="18"/>
        </w:rPr>
        <w:t xml:space="preserve"> </w:t>
      </w:r>
      <w:r w:rsidRPr="00065F9B">
        <w:rPr>
          <w:sz w:val="18"/>
          <w:szCs w:val="18"/>
        </w:rPr>
        <w:t xml:space="preserve">111-125. Retrieved May 25, 2014, from </w:t>
      </w:r>
      <w:hyperlink r:id="rId49" w:history="1">
        <w:r w:rsidRPr="00065F9B">
          <w:rPr>
            <w:rStyle w:val="Hyperlink"/>
            <w:sz w:val="18"/>
            <w:szCs w:val="18"/>
          </w:rPr>
          <w:t>http://www.jstor.org/stable/10.1086/657445</w:t>
        </w:r>
      </w:hyperlink>
      <w:r w:rsidRPr="00065F9B">
        <w:rPr>
          <w:sz w:val="18"/>
          <w:szCs w:val="18"/>
        </w:rPr>
        <w:t xml:space="preserve">. </w:t>
      </w:r>
      <w:proofErr w:type="spellStart"/>
      <w:r w:rsidRPr="00065F9B">
        <w:rPr>
          <w:sz w:val="18"/>
          <w:szCs w:val="18"/>
        </w:rPr>
        <w:t>doi</w:t>
      </w:r>
      <w:proofErr w:type="spellEnd"/>
      <w:r w:rsidRPr="00065F9B">
        <w:rPr>
          <w:sz w:val="18"/>
          <w:szCs w:val="18"/>
        </w:rPr>
        <w:t>: 10.1086/657445</w:t>
      </w:r>
      <w:r>
        <w:rPr>
          <w:sz w:val="18"/>
          <w:szCs w:val="18"/>
        </w:rPr>
        <w:t>.</w:t>
      </w:r>
    </w:p>
    <w:p w14:paraId="185B4550" w14:textId="77777777" w:rsidR="005233C6" w:rsidRPr="00065F9B" w:rsidRDefault="005233C6" w:rsidP="0021328A">
      <w:pPr>
        <w:widowControl w:val="0"/>
        <w:autoSpaceDE w:val="0"/>
        <w:autoSpaceDN w:val="0"/>
        <w:adjustRightInd w:val="0"/>
        <w:ind w:left="144" w:hanging="144"/>
        <w:rPr>
          <w:sz w:val="18"/>
          <w:szCs w:val="18"/>
        </w:rPr>
      </w:pPr>
      <w:r w:rsidRPr="00065F9B">
        <w:rPr>
          <w:sz w:val="18"/>
          <w:szCs w:val="18"/>
        </w:rPr>
        <w:t xml:space="preserve">Town, J. S., &amp; </w:t>
      </w:r>
      <w:proofErr w:type="spellStart"/>
      <w:r w:rsidRPr="00065F9B">
        <w:rPr>
          <w:sz w:val="18"/>
          <w:szCs w:val="18"/>
        </w:rPr>
        <w:t>Kyrillidou</w:t>
      </w:r>
      <w:proofErr w:type="spellEnd"/>
      <w:r w:rsidRPr="00065F9B">
        <w:rPr>
          <w:sz w:val="18"/>
          <w:szCs w:val="18"/>
        </w:rPr>
        <w:t xml:space="preserve">, M. (2013). Developing a values scorecard. </w:t>
      </w:r>
      <w:r w:rsidRPr="00065F9B">
        <w:rPr>
          <w:i/>
          <w:sz w:val="18"/>
          <w:szCs w:val="18"/>
        </w:rPr>
        <w:t>Performance Measurement and Metrics, 14</w:t>
      </w:r>
      <w:r w:rsidRPr="00065F9B">
        <w:rPr>
          <w:sz w:val="18"/>
          <w:szCs w:val="18"/>
        </w:rPr>
        <w:t xml:space="preserve">(1), 7-16. </w:t>
      </w:r>
      <w:proofErr w:type="spellStart"/>
      <w:r w:rsidRPr="00065F9B">
        <w:rPr>
          <w:sz w:val="18"/>
          <w:szCs w:val="18"/>
        </w:rPr>
        <w:t>doi</w:t>
      </w:r>
      <w:proofErr w:type="spellEnd"/>
      <w:r w:rsidRPr="00065F9B">
        <w:rPr>
          <w:sz w:val="18"/>
          <w:szCs w:val="18"/>
        </w:rPr>
        <w:t>: 10.1108/14678041311316095</w:t>
      </w:r>
      <w:r>
        <w:rPr>
          <w:sz w:val="18"/>
          <w:szCs w:val="18"/>
        </w:rPr>
        <w:t>.</w:t>
      </w:r>
    </w:p>
    <w:p w14:paraId="007ED420" w14:textId="77777777" w:rsidR="005233C6" w:rsidRPr="00065F9B" w:rsidRDefault="005233C6" w:rsidP="0021328A">
      <w:pPr>
        <w:widowControl w:val="0"/>
        <w:autoSpaceDE w:val="0"/>
        <w:autoSpaceDN w:val="0"/>
        <w:adjustRightInd w:val="0"/>
        <w:ind w:left="144" w:hanging="144"/>
        <w:rPr>
          <w:sz w:val="18"/>
          <w:szCs w:val="18"/>
        </w:rPr>
      </w:pPr>
      <w:proofErr w:type="spellStart"/>
      <w:r w:rsidRPr="00065F9B">
        <w:rPr>
          <w:sz w:val="18"/>
          <w:szCs w:val="18"/>
        </w:rPr>
        <w:t>Usherwood</w:t>
      </w:r>
      <w:proofErr w:type="spellEnd"/>
      <w:r w:rsidRPr="00065F9B">
        <w:rPr>
          <w:sz w:val="18"/>
          <w:szCs w:val="18"/>
        </w:rPr>
        <w:t xml:space="preserve">, B. (2002). Demonstrating impact through qualitative research. </w:t>
      </w:r>
      <w:r w:rsidRPr="00065F9B">
        <w:rPr>
          <w:i/>
          <w:sz w:val="18"/>
          <w:szCs w:val="18"/>
        </w:rPr>
        <w:t>Performance Measurement and Metrics, 3</w:t>
      </w:r>
      <w:r w:rsidRPr="00065F9B">
        <w:rPr>
          <w:sz w:val="18"/>
          <w:szCs w:val="18"/>
        </w:rPr>
        <w:t xml:space="preserve">(3), 117-122. </w:t>
      </w:r>
      <w:proofErr w:type="spellStart"/>
      <w:r w:rsidRPr="00065F9B">
        <w:rPr>
          <w:sz w:val="18"/>
          <w:szCs w:val="18"/>
        </w:rPr>
        <w:t>doi</w:t>
      </w:r>
      <w:proofErr w:type="spellEnd"/>
      <w:r w:rsidRPr="00065F9B">
        <w:rPr>
          <w:sz w:val="18"/>
          <w:szCs w:val="18"/>
        </w:rPr>
        <w:t>: 10.1108/14678040210453546</w:t>
      </w:r>
      <w:r>
        <w:rPr>
          <w:sz w:val="18"/>
          <w:szCs w:val="18"/>
        </w:rPr>
        <w:t>.</w:t>
      </w:r>
    </w:p>
    <w:p w14:paraId="1C9C7CBC" w14:textId="77777777" w:rsidR="005233C6" w:rsidRPr="00065F9B" w:rsidRDefault="005233C6" w:rsidP="0021328A">
      <w:pPr>
        <w:widowControl w:val="0"/>
        <w:autoSpaceDE w:val="0"/>
        <w:autoSpaceDN w:val="0"/>
        <w:adjustRightInd w:val="0"/>
        <w:ind w:left="144" w:hanging="144"/>
        <w:rPr>
          <w:sz w:val="18"/>
          <w:szCs w:val="18"/>
        </w:rPr>
      </w:pPr>
      <w:r w:rsidRPr="00065F9B">
        <w:rPr>
          <w:sz w:val="18"/>
          <w:szCs w:val="18"/>
        </w:rPr>
        <w:t xml:space="preserve">Van Deventer, M. J. (2002). </w:t>
      </w:r>
      <w:r w:rsidRPr="00065F9B">
        <w:rPr>
          <w:i/>
          <w:iCs/>
          <w:sz w:val="18"/>
          <w:szCs w:val="18"/>
        </w:rPr>
        <w:t xml:space="preserve">Introducing intellectual capital management in an information support services environment </w:t>
      </w:r>
      <w:r w:rsidRPr="00065F9B">
        <w:rPr>
          <w:iCs/>
          <w:sz w:val="18"/>
          <w:szCs w:val="18"/>
        </w:rPr>
        <w:t>(Unpublished DPhil thesis)</w:t>
      </w:r>
      <w:r w:rsidRPr="00065F9B">
        <w:rPr>
          <w:sz w:val="18"/>
          <w:szCs w:val="18"/>
        </w:rPr>
        <w:t xml:space="preserve">. University of Pretoria, South Africa. Retrieved May 25, 2014, from </w:t>
      </w:r>
      <w:hyperlink r:id="rId50" w:history="1">
        <w:r w:rsidRPr="00065F9B">
          <w:rPr>
            <w:rStyle w:val="Hyperlink"/>
            <w:sz w:val="18"/>
            <w:szCs w:val="18"/>
          </w:rPr>
          <w:t>http://upetd.up.ac.za/thesis/available/etd-08012003-162454/</w:t>
        </w:r>
      </w:hyperlink>
      <w:r w:rsidRPr="00065F9B">
        <w:rPr>
          <w:sz w:val="18"/>
          <w:szCs w:val="18"/>
        </w:rPr>
        <w:t>.</w:t>
      </w:r>
    </w:p>
    <w:p w14:paraId="3A69F91D" w14:textId="77777777" w:rsidR="005233C6" w:rsidRPr="00065F9B" w:rsidRDefault="005233C6" w:rsidP="0021328A">
      <w:pPr>
        <w:widowControl w:val="0"/>
        <w:autoSpaceDE w:val="0"/>
        <w:autoSpaceDN w:val="0"/>
        <w:adjustRightInd w:val="0"/>
        <w:ind w:left="144" w:hanging="144"/>
        <w:rPr>
          <w:iCs/>
          <w:sz w:val="18"/>
          <w:szCs w:val="18"/>
        </w:rPr>
      </w:pPr>
      <w:r w:rsidRPr="00065F9B">
        <w:rPr>
          <w:sz w:val="18"/>
          <w:szCs w:val="18"/>
        </w:rPr>
        <w:t xml:space="preserve">Van Deventer, M. J., &amp; </w:t>
      </w:r>
      <w:proofErr w:type="spellStart"/>
      <w:r w:rsidRPr="00065F9B">
        <w:rPr>
          <w:sz w:val="18"/>
          <w:szCs w:val="18"/>
        </w:rPr>
        <w:t>Snyman</w:t>
      </w:r>
      <w:proofErr w:type="spellEnd"/>
      <w:r w:rsidRPr="00065F9B">
        <w:rPr>
          <w:sz w:val="18"/>
          <w:szCs w:val="18"/>
        </w:rPr>
        <w:t xml:space="preserve">, R. (2004). </w:t>
      </w:r>
      <w:r w:rsidRPr="00065F9B">
        <w:rPr>
          <w:iCs/>
          <w:sz w:val="18"/>
          <w:szCs w:val="18"/>
        </w:rPr>
        <w:t xml:space="preserve">Measuring for sustainability: A multidimensional measurement framework for library and information services. </w:t>
      </w:r>
      <w:proofErr w:type="spellStart"/>
      <w:r w:rsidRPr="00065F9B">
        <w:rPr>
          <w:iCs/>
          <w:sz w:val="18"/>
          <w:szCs w:val="18"/>
        </w:rPr>
        <w:t>doi</w:t>
      </w:r>
      <w:proofErr w:type="spellEnd"/>
      <w:r w:rsidRPr="00065F9B">
        <w:rPr>
          <w:iCs/>
          <w:sz w:val="18"/>
          <w:szCs w:val="18"/>
        </w:rPr>
        <w:t>: 10.1515/LIBR.2004.1</w:t>
      </w:r>
      <w:r>
        <w:rPr>
          <w:iCs/>
          <w:sz w:val="18"/>
          <w:szCs w:val="18"/>
        </w:rPr>
        <w:t xml:space="preserve">. </w:t>
      </w:r>
      <w:proofErr w:type="spellStart"/>
      <w:r w:rsidRPr="00065F9B">
        <w:rPr>
          <w:i/>
          <w:iCs/>
          <w:sz w:val="18"/>
          <w:szCs w:val="18"/>
        </w:rPr>
        <w:t>Libri</w:t>
      </w:r>
      <w:proofErr w:type="spellEnd"/>
      <w:r w:rsidRPr="00065F9B">
        <w:rPr>
          <w:i/>
          <w:iCs/>
          <w:sz w:val="18"/>
          <w:szCs w:val="18"/>
        </w:rPr>
        <w:t>, 54</w:t>
      </w:r>
      <w:r w:rsidRPr="00065F9B">
        <w:rPr>
          <w:iCs/>
          <w:sz w:val="18"/>
          <w:szCs w:val="18"/>
        </w:rPr>
        <w:t xml:space="preserve">(1), 1-8. Retrieved May 25, 2014, from </w:t>
      </w:r>
      <w:hyperlink r:id="rId51" w:history="1">
        <w:r w:rsidRPr="00065F9B">
          <w:rPr>
            <w:rStyle w:val="Hyperlink"/>
            <w:iCs/>
            <w:sz w:val="18"/>
            <w:szCs w:val="18"/>
          </w:rPr>
          <w:t>http://www.librijournal.org/pdf/2004-1pp1-8.pdf</w:t>
        </w:r>
      </w:hyperlink>
      <w:r w:rsidRPr="00065F9B">
        <w:rPr>
          <w:iCs/>
          <w:sz w:val="18"/>
          <w:szCs w:val="18"/>
        </w:rPr>
        <w:t xml:space="preserve">. </w:t>
      </w:r>
    </w:p>
    <w:p w14:paraId="75338938" w14:textId="77777777" w:rsidR="00A710F0" w:rsidRPr="00A710F0" w:rsidRDefault="00A710F0" w:rsidP="0021328A">
      <w:pPr>
        <w:widowControl w:val="0"/>
        <w:autoSpaceDE w:val="0"/>
        <w:autoSpaceDN w:val="0"/>
        <w:adjustRightInd w:val="0"/>
        <w:ind w:left="144" w:hanging="144"/>
        <w:rPr>
          <w:sz w:val="18"/>
          <w:szCs w:val="18"/>
        </w:rPr>
      </w:pPr>
      <w:proofErr w:type="spellStart"/>
      <w:r w:rsidRPr="00A710F0">
        <w:rPr>
          <w:color w:val="1A1A1A"/>
          <w:sz w:val="18"/>
          <w:szCs w:val="18"/>
        </w:rPr>
        <w:t>Vårheim</w:t>
      </w:r>
      <w:proofErr w:type="spellEnd"/>
      <w:r w:rsidRPr="00A710F0">
        <w:rPr>
          <w:color w:val="1A1A1A"/>
          <w:sz w:val="18"/>
          <w:szCs w:val="18"/>
        </w:rPr>
        <w:t xml:space="preserve">, A. (2011). Gracious space: Library programming strategies towards immigrants as tools in the creation of social capital. </w:t>
      </w:r>
      <w:r w:rsidRPr="00A710F0">
        <w:rPr>
          <w:i/>
          <w:iCs/>
          <w:color w:val="1A1A1A"/>
          <w:sz w:val="18"/>
          <w:szCs w:val="18"/>
        </w:rPr>
        <w:t>Library &amp; Information Science Research,</w:t>
      </w:r>
      <w:r w:rsidRPr="00A710F0">
        <w:rPr>
          <w:i/>
          <w:color w:val="1A1A1A"/>
          <w:sz w:val="18"/>
          <w:szCs w:val="18"/>
        </w:rPr>
        <w:t xml:space="preserve"> 33</w:t>
      </w:r>
      <w:r w:rsidRPr="00A710F0">
        <w:rPr>
          <w:color w:val="1A1A1A"/>
          <w:sz w:val="18"/>
          <w:szCs w:val="18"/>
        </w:rPr>
        <w:t xml:space="preserve">(1), 12-18. </w:t>
      </w:r>
      <w:proofErr w:type="spellStart"/>
      <w:r w:rsidRPr="00A710F0">
        <w:rPr>
          <w:color w:val="1A1A1A"/>
          <w:sz w:val="18"/>
          <w:szCs w:val="18"/>
        </w:rPr>
        <w:t>doi</w:t>
      </w:r>
      <w:proofErr w:type="spellEnd"/>
      <w:r w:rsidRPr="00A710F0">
        <w:rPr>
          <w:color w:val="1A1A1A"/>
          <w:sz w:val="18"/>
          <w:szCs w:val="18"/>
        </w:rPr>
        <w:t xml:space="preserve">: </w:t>
      </w:r>
      <w:r w:rsidRPr="00A710F0">
        <w:rPr>
          <w:color w:val="424242"/>
          <w:sz w:val="18"/>
          <w:szCs w:val="18"/>
        </w:rPr>
        <w:t>10.1016/j.lisr.2010.04 .005.</w:t>
      </w:r>
    </w:p>
    <w:p w14:paraId="0E869116" w14:textId="77777777" w:rsidR="005233C6" w:rsidRDefault="005233C6" w:rsidP="0021328A">
      <w:pPr>
        <w:widowControl w:val="0"/>
        <w:autoSpaceDE w:val="0"/>
        <w:autoSpaceDN w:val="0"/>
        <w:adjustRightInd w:val="0"/>
        <w:ind w:left="144" w:hanging="144"/>
        <w:rPr>
          <w:bCs/>
          <w:sz w:val="18"/>
          <w:szCs w:val="18"/>
        </w:rPr>
      </w:pPr>
      <w:r w:rsidRPr="00065F9B">
        <w:rPr>
          <w:sz w:val="18"/>
          <w:szCs w:val="18"/>
        </w:rPr>
        <w:t xml:space="preserve">Vaughan, K. T. L., Hayes, B. E., Lerner, R. C., </w:t>
      </w:r>
      <w:proofErr w:type="spellStart"/>
      <w:r w:rsidRPr="00065F9B">
        <w:rPr>
          <w:sz w:val="18"/>
          <w:szCs w:val="18"/>
        </w:rPr>
        <w:t>McElfresh</w:t>
      </w:r>
      <w:proofErr w:type="spellEnd"/>
      <w:r w:rsidRPr="00065F9B">
        <w:rPr>
          <w:sz w:val="18"/>
          <w:szCs w:val="18"/>
        </w:rPr>
        <w:t xml:space="preserve">, K. R., </w:t>
      </w:r>
      <w:proofErr w:type="spellStart"/>
      <w:r w:rsidRPr="00065F9B">
        <w:rPr>
          <w:sz w:val="18"/>
          <w:szCs w:val="18"/>
        </w:rPr>
        <w:t>Pavlech</w:t>
      </w:r>
      <w:proofErr w:type="spellEnd"/>
      <w:r w:rsidRPr="00065F9B">
        <w:rPr>
          <w:sz w:val="18"/>
          <w:szCs w:val="18"/>
        </w:rPr>
        <w:t xml:space="preserve">, L., </w:t>
      </w:r>
      <w:proofErr w:type="spellStart"/>
      <w:r w:rsidRPr="00065F9B">
        <w:rPr>
          <w:sz w:val="18"/>
          <w:szCs w:val="18"/>
        </w:rPr>
        <w:t>Romito</w:t>
      </w:r>
      <w:proofErr w:type="spellEnd"/>
      <w:r w:rsidRPr="00065F9B">
        <w:rPr>
          <w:sz w:val="18"/>
          <w:szCs w:val="18"/>
        </w:rPr>
        <w:t xml:space="preserve">, D. et al. (2013). Development of the research lifecycle model for library services. </w:t>
      </w:r>
      <w:r w:rsidRPr="00065F9B">
        <w:rPr>
          <w:i/>
          <w:sz w:val="18"/>
          <w:szCs w:val="18"/>
        </w:rPr>
        <w:t>Journal of the Medical Library Association, 101</w:t>
      </w:r>
      <w:r w:rsidRPr="00065F9B">
        <w:rPr>
          <w:sz w:val="18"/>
          <w:szCs w:val="18"/>
        </w:rPr>
        <w:t xml:space="preserve">(4), 310-314. </w:t>
      </w:r>
      <w:proofErr w:type="spellStart"/>
      <w:r w:rsidRPr="00065F9B">
        <w:rPr>
          <w:color w:val="3B3B3B"/>
          <w:sz w:val="18"/>
          <w:szCs w:val="18"/>
        </w:rPr>
        <w:t>doi</w:t>
      </w:r>
      <w:proofErr w:type="spellEnd"/>
      <w:r w:rsidRPr="00065F9B">
        <w:rPr>
          <w:color w:val="3B3B3B"/>
          <w:sz w:val="18"/>
          <w:szCs w:val="18"/>
        </w:rPr>
        <w:t xml:space="preserve">: </w:t>
      </w:r>
      <w:r>
        <w:rPr>
          <w:sz w:val="18"/>
          <w:szCs w:val="18"/>
        </w:rPr>
        <w:t xml:space="preserve">10.3163/1536-5050.101.4.013. </w:t>
      </w:r>
      <w:r w:rsidRPr="00065F9B">
        <w:rPr>
          <w:sz w:val="18"/>
          <w:szCs w:val="18"/>
        </w:rPr>
        <w:t xml:space="preserve">Retrieved May 25, 2014, from </w:t>
      </w:r>
      <w:hyperlink r:id="rId52" w:history="1">
        <w:r w:rsidRPr="00065F9B">
          <w:rPr>
            <w:rStyle w:val="Hyperlink"/>
            <w:sz w:val="18"/>
            <w:szCs w:val="18"/>
          </w:rPr>
          <w:t>http://www.ncbi.nlm.nih.gov/pmc/articles/PMC3794687/</w:t>
        </w:r>
      </w:hyperlink>
      <w:r w:rsidRPr="00065F9B">
        <w:rPr>
          <w:rStyle w:val="Hyperlink"/>
          <w:sz w:val="18"/>
          <w:szCs w:val="18"/>
        </w:rPr>
        <w:t>.</w:t>
      </w:r>
      <w:r w:rsidRPr="00065F9B">
        <w:rPr>
          <w:bCs/>
          <w:sz w:val="18"/>
          <w:szCs w:val="18"/>
        </w:rPr>
        <w:t xml:space="preserve"> </w:t>
      </w:r>
    </w:p>
    <w:p w14:paraId="5B78B5FC" w14:textId="77777777" w:rsidR="005233C6" w:rsidRPr="00065F9B" w:rsidRDefault="005233C6" w:rsidP="0021328A">
      <w:pPr>
        <w:widowControl w:val="0"/>
        <w:autoSpaceDE w:val="0"/>
        <w:autoSpaceDN w:val="0"/>
        <w:adjustRightInd w:val="0"/>
        <w:ind w:left="144" w:hanging="144"/>
        <w:rPr>
          <w:sz w:val="18"/>
          <w:szCs w:val="18"/>
        </w:rPr>
      </w:pPr>
      <w:proofErr w:type="spellStart"/>
      <w:r w:rsidRPr="00065F9B">
        <w:rPr>
          <w:sz w:val="18"/>
          <w:szCs w:val="18"/>
        </w:rPr>
        <w:t>Voorbij</w:t>
      </w:r>
      <w:proofErr w:type="spellEnd"/>
      <w:r w:rsidRPr="00065F9B">
        <w:rPr>
          <w:sz w:val="18"/>
          <w:szCs w:val="18"/>
        </w:rPr>
        <w:t xml:space="preserve">, H. (2012). The use of </w:t>
      </w:r>
      <w:proofErr w:type="spellStart"/>
      <w:r w:rsidRPr="00065F9B">
        <w:rPr>
          <w:sz w:val="18"/>
          <w:szCs w:val="18"/>
        </w:rPr>
        <w:t>LibQUAL</w:t>
      </w:r>
      <w:proofErr w:type="spellEnd"/>
      <w:r w:rsidRPr="00065F9B">
        <w:rPr>
          <w:sz w:val="18"/>
          <w:szCs w:val="18"/>
        </w:rPr>
        <w:t xml:space="preserve">+ by European research libraries. </w:t>
      </w:r>
      <w:r w:rsidRPr="00065F9B">
        <w:rPr>
          <w:i/>
          <w:sz w:val="18"/>
          <w:szCs w:val="18"/>
        </w:rPr>
        <w:t>Performance Measurement and Metrics, 13</w:t>
      </w:r>
      <w:r w:rsidRPr="00065F9B">
        <w:rPr>
          <w:sz w:val="18"/>
          <w:szCs w:val="18"/>
        </w:rPr>
        <w:t xml:space="preserve">(3), 154-168. </w:t>
      </w:r>
      <w:proofErr w:type="spellStart"/>
      <w:r w:rsidRPr="00065F9B">
        <w:rPr>
          <w:sz w:val="18"/>
          <w:szCs w:val="18"/>
        </w:rPr>
        <w:t>doi</w:t>
      </w:r>
      <w:proofErr w:type="spellEnd"/>
      <w:r w:rsidRPr="00065F9B">
        <w:rPr>
          <w:sz w:val="18"/>
          <w:szCs w:val="18"/>
        </w:rPr>
        <w:t>: 10.1108/14678041211284704</w:t>
      </w:r>
      <w:r>
        <w:rPr>
          <w:sz w:val="18"/>
          <w:szCs w:val="18"/>
        </w:rPr>
        <w:t>.</w:t>
      </w:r>
    </w:p>
    <w:p w14:paraId="40EA58D7" w14:textId="77777777" w:rsidR="005233C6" w:rsidRPr="00065F9B" w:rsidRDefault="005233C6" w:rsidP="0021328A">
      <w:pPr>
        <w:widowControl w:val="0"/>
        <w:autoSpaceDE w:val="0"/>
        <w:autoSpaceDN w:val="0"/>
        <w:adjustRightInd w:val="0"/>
        <w:ind w:left="144" w:hanging="144"/>
        <w:rPr>
          <w:sz w:val="18"/>
          <w:szCs w:val="18"/>
        </w:rPr>
      </w:pPr>
      <w:r w:rsidRPr="00065F9B">
        <w:rPr>
          <w:sz w:val="18"/>
          <w:szCs w:val="18"/>
        </w:rPr>
        <w:t xml:space="preserve">Weaver, M. (2013). Student journey work: A review of academic library contributions to student transition and success. </w:t>
      </w:r>
      <w:r w:rsidRPr="00065F9B">
        <w:rPr>
          <w:i/>
          <w:sz w:val="18"/>
          <w:szCs w:val="18"/>
        </w:rPr>
        <w:t>New Review of Academic Librarianship, 19</w:t>
      </w:r>
      <w:r w:rsidRPr="00065F9B">
        <w:rPr>
          <w:sz w:val="18"/>
          <w:szCs w:val="18"/>
        </w:rPr>
        <w:t xml:space="preserve">(2), 101-124. </w:t>
      </w:r>
      <w:proofErr w:type="spellStart"/>
      <w:r w:rsidRPr="00065F9B">
        <w:rPr>
          <w:sz w:val="18"/>
          <w:szCs w:val="18"/>
        </w:rPr>
        <w:t>doi</w:t>
      </w:r>
      <w:proofErr w:type="spellEnd"/>
      <w:r w:rsidRPr="00065F9B">
        <w:rPr>
          <w:sz w:val="18"/>
          <w:szCs w:val="18"/>
        </w:rPr>
        <w:t>: 10.1080/13614533.2013.800754</w:t>
      </w:r>
      <w:r>
        <w:rPr>
          <w:sz w:val="18"/>
          <w:szCs w:val="18"/>
        </w:rPr>
        <w:t>.</w:t>
      </w:r>
    </w:p>
    <w:p w14:paraId="795F1734" w14:textId="77777777" w:rsidR="005233C6" w:rsidRPr="00065F9B" w:rsidRDefault="005233C6" w:rsidP="0021328A">
      <w:pPr>
        <w:widowControl w:val="0"/>
        <w:autoSpaceDE w:val="0"/>
        <w:autoSpaceDN w:val="0"/>
        <w:adjustRightInd w:val="0"/>
        <w:ind w:left="144" w:hanging="144"/>
        <w:rPr>
          <w:sz w:val="18"/>
          <w:szCs w:val="18"/>
        </w:rPr>
      </w:pPr>
      <w:r w:rsidRPr="00065F9B">
        <w:rPr>
          <w:sz w:val="18"/>
          <w:szCs w:val="18"/>
        </w:rPr>
        <w:t xml:space="preserve">White, L. N. (2007a). Unseen measures: the need to account for intangibles. </w:t>
      </w:r>
      <w:r w:rsidRPr="00065F9B">
        <w:rPr>
          <w:i/>
          <w:sz w:val="18"/>
          <w:szCs w:val="18"/>
        </w:rPr>
        <w:t>The Bottom Line, 20</w:t>
      </w:r>
      <w:r w:rsidRPr="00065F9B">
        <w:rPr>
          <w:sz w:val="18"/>
          <w:szCs w:val="18"/>
        </w:rPr>
        <w:t xml:space="preserve">(2), 77-84. </w:t>
      </w:r>
      <w:proofErr w:type="spellStart"/>
      <w:r w:rsidRPr="00065F9B">
        <w:rPr>
          <w:sz w:val="18"/>
          <w:szCs w:val="18"/>
        </w:rPr>
        <w:t>doi</w:t>
      </w:r>
      <w:proofErr w:type="spellEnd"/>
      <w:r w:rsidRPr="00065F9B">
        <w:rPr>
          <w:sz w:val="18"/>
          <w:szCs w:val="18"/>
        </w:rPr>
        <w:t>: 10.1108/08880450710773011</w:t>
      </w:r>
      <w:r>
        <w:rPr>
          <w:sz w:val="18"/>
          <w:szCs w:val="18"/>
        </w:rPr>
        <w:t>.</w:t>
      </w:r>
    </w:p>
    <w:p w14:paraId="500A23B2" w14:textId="77777777" w:rsidR="005233C6" w:rsidRPr="00065F9B" w:rsidRDefault="005233C6" w:rsidP="0021328A">
      <w:pPr>
        <w:widowControl w:val="0"/>
        <w:autoSpaceDE w:val="0"/>
        <w:autoSpaceDN w:val="0"/>
        <w:adjustRightInd w:val="0"/>
        <w:ind w:left="144" w:hanging="144"/>
        <w:rPr>
          <w:sz w:val="18"/>
          <w:szCs w:val="18"/>
        </w:rPr>
      </w:pPr>
      <w:r w:rsidRPr="00065F9B">
        <w:rPr>
          <w:sz w:val="18"/>
          <w:szCs w:val="18"/>
        </w:rPr>
        <w:t xml:space="preserve">White, L. N. (2007b). A kaleidoscope of possibilities: strategies for assessing human capital in libraries. </w:t>
      </w:r>
      <w:r w:rsidRPr="00065F9B">
        <w:rPr>
          <w:i/>
          <w:sz w:val="18"/>
          <w:szCs w:val="18"/>
        </w:rPr>
        <w:t>The Bottom Line, 20</w:t>
      </w:r>
      <w:r w:rsidRPr="00065F9B">
        <w:rPr>
          <w:sz w:val="18"/>
          <w:szCs w:val="18"/>
        </w:rPr>
        <w:t xml:space="preserve">(3), 109-115. </w:t>
      </w:r>
      <w:proofErr w:type="spellStart"/>
      <w:r w:rsidRPr="00065F9B">
        <w:rPr>
          <w:sz w:val="18"/>
          <w:szCs w:val="18"/>
        </w:rPr>
        <w:t>doi</w:t>
      </w:r>
      <w:proofErr w:type="spellEnd"/>
      <w:r w:rsidRPr="00065F9B">
        <w:rPr>
          <w:sz w:val="18"/>
          <w:szCs w:val="18"/>
        </w:rPr>
        <w:t>: 10.1108/08880450710825815</w:t>
      </w:r>
      <w:r>
        <w:rPr>
          <w:sz w:val="18"/>
          <w:szCs w:val="18"/>
        </w:rPr>
        <w:t>.</w:t>
      </w:r>
    </w:p>
    <w:p w14:paraId="30083C9B" w14:textId="77777777" w:rsidR="005233C6" w:rsidRPr="00065F9B" w:rsidRDefault="005233C6" w:rsidP="0021328A">
      <w:pPr>
        <w:widowControl w:val="0"/>
        <w:autoSpaceDE w:val="0"/>
        <w:autoSpaceDN w:val="0"/>
        <w:adjustRightInd w:val="0"/>
        <w:ind w:left="144" w:hanging="144"/>
        <w:rPr>
          <w:sz w:val="18"/>
          <w:szCs w:val="18"/>
        </w:rPr>
      </w:pPr>
      <w:r w:rsidRPr="00065F9B">
        <w:rPr>
          <w:sz w:val="18"/>
          <w:szCs w:val="18"/>
        </w:rPr>
        <w:t xml:space="preserve">White, L. N. (2007c). Imperfect reflections: The challenges in implementing human capital assessment in libraries. </w:t>
      </w:r>
      <w:r w:rsidRPr="00065F9B">
        <w:rPr>
          <w:i/>
          <w:sz w:val="18"/>
          <w:szCs w:val="18"/>
        </w:rPr>
        <w:t>The Bottom Line, 20</w:t>
      </w:r>
      <w:r w:rsidRPr="00065F9B">
        <w:rPr>
          <w:sz w:val="18"/>
          <w:szCs w:val="18"/>
        </w:rPr>
        <w:t xml:space="preserve">(4), 141-147. </w:t>
      </w:r>
      <w:proofErr w:type="spellStart"/>
      <w:r w:rsidRPr="00065F9B">
        <w:rPr>
          <w:sz w:val="18"/>
          <w:szCs w:val="18"/>
        </w:rPr>
        <w:t>doi</w:t>
      </w:r>
      <w:proofErr w:type="spellEnd"/>
      <w:r w:rsidRPr="00065F9B">
        <w:rPr>
          <w:sz w:val="18"/>
          <w:szCs w:val="18"/>
        </w:rPr>
        <w:t>: 10.1108/08880450710843969</w:t>
      </w:r>
      <w:r>
        <w:rPr>
          <w:sz w:val="18"/>
          <w:szCs w:val="18"/>
        </w:rPr>
        <w:t>.</w:t>
      </w:r>
    </w:p>
    <w:p w14:paraId="56DE8B37" w14:textId="77777777" w:rsidR="00015EC5" w:rsidRPr="008552A8" w:rsidRDefault="00015EC5" w:rsidP="0021328A">
      <w:pPr>
        <w:pStyle w:val="Heading1"/>
        <w:spacing w:after="80"/>
        <w:jc w:val="both"/>
        <w:rPr>
          <w:rFonts w:ascii="Arial" w:hAnsi="Arial" w:cs="Arial"/>
          <w:lang w:val="tr-TR"/>
        </w:rPr>
      </w:pPr>
      <w:proofErr w:type="spellStart"/>
      <w:r w:rsidRPr="008552A8">
        <w:rPr>
          <w:rFonts w:ascii="Arial" w:hAnsi="Arial" w:cs="Arial"/>
          <w:lang w:val="tr-TR"/>
        </w:rPr>
        <w:t>Curriculum</w:t>
      </w:r>
      <w:proofErr w:type="spellEnd"/>
      <w:r w:rsidRPr="008552A8">
        <w:rPr>
          <w:rFonts w:ascii="Arial" w:hAnsi="Arial" w:cs="Arial"/>
          <w:lang w:val="tr-TR"/>
        </w:rPr>
        <w:t xml:space="preserve"> </w:t>
      </w:r>
      <w:proofErr w:type="spellStart"/>
      <w:r w:rsidRPr="008552A8">
        <w:rPr>
          <w:rFonts w:ascii="Arial" w:hAnsi="Arial" w:cs="Arial"/>
          <w:lang w:val="tr-TR"/>
        </w:rPr>
        <w:t>Vitae</w:t>
      </w:r>
      <w:proofErr w:type="spellEnd"/>
    </w:p>
    <w:p w14:paraId="328FB371" w14:textId="77777777" w:rsidR="00015EC5" w:rsidRPr="00015EC5" w:rsidRDefault="00015EC5" w:rsidP="0021328A">
      <w:r w:rsidRPr="0095665A">
        <w:rPr>
          <w:color w:val="1A1A1A"/>
        </w:rPr>
        <w:t xml:space="preserve">Sheila Corrall is Professor and Chair of the Library </w:t>
      </w:r>
      <w:r>
        <w:rPr>
          <w:color w:val="1A1A1A"/>
        </w:rPr>
        <w:t>&amp;</w:t>
      </w:r>
      <w:r w:rsidRPr="0095665A">
        <w:rPr>
          <w:color w:val="1A1A1A"/>
        </w:rPr>
        <w:t xml:space="preserve"> Information Science Program at the University of Pittsburgh, USA. She moved to </w:t>
      </w:r>
      <w:r>
        <w:rPr>
          <w:color w:val="1A1A1A"/>
        </w:rPr>
        <w:t>the USA</w:t>
      </w:r>
      <w:r w:rsidRPr="0095665A">
        <w:rPr>
          <w:color w:val="1A1A1A"/>
        </w:rPr>
        <w:t xml:space="preserve"> in 2012 after eight years at the University of Sheffield, UK, where she was Head of the Information School for four years. Her professional experience includes serving as director of library and information services at three UK universities and ten years </w:t>
      </w:r>
      <w:r>
        <w:rPr>
          <w:color w:val="1A1A1A"/>
        </w:rPr>
        <w:t>as a manager at</w:t>
      </w:r>
      <w:r w:rsidRPr="0095665A">
        <w:rPr>
          <w:color w:val="1A1A1A"/>
        </w:rPr>
        <w:t xml:space="preserve"> The British Library. Corrall teaches courses on Academic Libraries and Research Methods. Her research areas include strategic management of information services, collection development in the digital world, and the evolvin</w:t>
      </w:r>
      <w:r>
        <w:rPr>
          <w:color w:val="1A1A1A"/>
        </w:rPr>
        <w:t>g roles and skillsets of librarians</w:t>
      </w:r>
      <w:r w:rsidRPr="0095665A">
        <w:rPr>
          <w:color w:val="1A1A1A"/>
        </w:rPr>
        <w:t xml:space="preserve"> and information specialists.</w:t>
      </w:r>
    </w:p>
    <w:p w14:paraId="198915FD" w14:textId="7E3C95D1" w:rsidR="005244D2" w:rsidRPr="00B80404" w:rsidRDefault="005244D2" w:rsidP="0021328A">
      <w:pPr>
        <w:spacing w:after="160" w:line="259" w:lineRule="auto"/>
        <w:ind w:firstLine="0"/>
        <w:rPr>
          <w:rFonts w:ascii="Arial" w:hAnsi="Arial" w:cs="Arial"/>
        </w:rPr>
      </w:pPr>
    </w:p>
    <w:sectPr w:rsidR="005244D2" w:rsidRPr="00B80404" w:rsidSect="00970539">
      <w:type w:val="continuous"/>
      <w:pgSz w:w="11894" w:h="16819" w:code="1"/>
      <w:pgMar w:top="1440" w:right="1080" w:bottom="1440" w:left="1080" w:header="720" w:footer="720" w:gutter="0"/>
      <w:cols w:num="2" w:space="49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2BA22" w14:textId="77777777" w:rsidR="0021328A" w:rsidRDefault="0021328A" w:rsidP="000D66FF">
      <w:pPr>
        <w:spacing w:after="0"/>
      </w:pPr>
      <w:r>
        <w:separator/>
      </w:r>
    </w:p>
  </w:endnote>
  <w:endnote w:type="continuationSeparator" w:id="0">
    <w:p w14:paraId="55C10EE0" w14:textId="77777777" w:rsidR="0021328A" w:rsidRDefault="0021328A" w:rsidP="000D6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iriam">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charset w:val="EE"/>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6B1A" w14:textId="77777777" w:rsidR="0021328A" w:rsidRDefault="00213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7992BF" w14:textId="77777777" w:rsidR="0021328A" w:rsidRDefault="002132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9E882" w14:textId="77777777" w:rsidR="0021328A" w:rsidRDefault="0021328A" w:rsidP="000D66FF">
      <w:pPr>
        <w:spacing w:after="0"/>
      </w:pPr>
      <w:r>
        <w:separator/>
      </w:r>
    </w:p>
  </w:footnote>
  <w:footnote w:type="continuationSeparator" w:id="0">
    <w:p w14:paraId="0F09CC5B" w14:textId="77777777" w:rsidR="0021328A" w:rsidRDefault="0021328A" w:rsidP="000D66F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26E"/>
    <w:multiLevelType w:val="hybridMultilevel"/>
    <w:tmpl w:val="CCA2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E071F"/>
    <w:multiLevelType w:val="hybridMultilevel"/>
    <w:tmpl w:val="D5C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82ABD"/>
    <w:multiLevelType w:val="hybridMultilevel"/>
    <w:tmpl w:val="A438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E18A5"/>
    <w:multiLevelType w:val="hybridMultilevel"/>
    <w:tmpl w:val="4BA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77397"/>
    <w:multiLevelType w:val="hybridMultilevel"/>
    <w:tmpl w:val="6FF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62DAF"/>
    <w:multiLevelType w:val="hybridMultilevel"/>
    <w:tmpl w:val="7A08124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38E32AE3"/>
    <w:multiLevelType w:val="hybridMultilevel"/>
    <w:tmpl w:val="F704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B760D"/>
    <w:multiLevelType w:val="hybridMultilevel"/>
    <w:tmpl w:val="3C78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A6F26"/>
    <w:multiLevelType w:val="hybridMultilevel"/>
    <w:tmpl w:val="8D2EC09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nsid w:val="6AEA50DD"/>
    <w:multiLevelType w:val="hybridMultilevel"/>
    <w:tmpl w:val="D13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67C62"/>
    <w:multiLevelType w:val="hybridMultilevel"/>
    <w:tmpl w:val="32CE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22C90"/>
    <w:multiLevelType w:val="hybridMultilevel"/>
    <w:tmpl w:val="9CD4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100402"/>
    <w:multiLevelType w:val="hybridMultilevel"/>
    <w:tmpl w:val="057A6BD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7A4341FD"/>
    <w:multiLevelType w:val="hybridMultilevel"/>
    <w:tmpl w:val="8AFEDD20"/>
    <w:lvl w:ilvl="0" w:tplc="B9AA29F2">
      <w:start w:val="1"/>
      <w:numFmt w:val="low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
  </w:num>
  <w:num w:numId="2">
    <w:abstractNumId w:val="10"/>
  </w:num>
  <w:num w:numId="3">
    <w:abstractNumId w:val="7"/>
  </w:num>
  <w:num w:numId="4">
    <w:abstractNumId w:val="3"/>
  </w:num>
  <w:num w:numId="5">
    <w:abstractNumId w:val="11"/>
  </w:num>
  <w:num w:numId="6">
    <w:abstractNumId w:val="2"/>
  </w:num>
  <w:num w:numId="7">
    <w:abstractNumId w:val="8"/>
  </w:num>
  <w:num w:numId="8">
    <w:abstractNumId w:val="13"/>
  </w:num>
  <w:num w:numId="9">
    <w:abstractNumId w:val="5"/>
  </w:num>
  <w:num w:numId="10">
    <w:abstractNumId w:val="9"/>
  </w:num>
  <w:num w:numId="11">
    <w:abstractNumId w:val="6"/>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FF"/>
    <w:rsid w:val="0000596E"/>
    <w:rsid w:val="0000647E"/>
    <w:rsid w:val="00013219"/>
    <w:rsid w:val="000132FC"/>
    <w:rsid w:val="0001381C"/>
    <w:rsid w:val="00015EC5"/>
    <w:rsid w:val="00016C7E"/>
    <w:rsid w:val="00017870"/>
    <w:rsid w:val="00020CB3"/>
    <w:rsid w:val="000211A9"/>
    <w:rsid w:val="00021776"/>
    <w:rsid w:val="00021A92"/>
    <w:rsid w:val="000223F3"/>
    <w:rsid w:val="0002424C"/>
    <w:rsid w:val="00027C06"/>
    <w:rsid w:val="000363F7"/>
    <w:rsid w:val="00040645"/>
    <w:rsid w:val="00040DFC"/>
    <w:rsid w:val="00044E43"/>
    <w:rsid w:val="00046892"/>
    <w:rsid w:val="00052213"/>
    <w:rsid w:val="00055F7B"/>
    <w:rsid w:val="00070EE5"/>
    <w:rsid w:val="00072921"/>
    <w:rsid w:val="00073C26"/>
    <w:rsid w:val="00076D90"/>
    <w:rsid w:val="000806E8"/>
    <w:rsid w:val="00082608"/>
    <w:rsid w:val="0008580A"/>
    <w:rsid w:val="000858BD"/>
    <w:rsid w:val="00090CB8"/>
    <w:rsid w:val="00095A74"/>
    <w:rsid w:val="00096060"/>
    <w:rsid w:val="000A000A"/>
    <w:rsid w:val="000A2783"/>
    <w:rsid w:val="000A66A1"/>
    <w:rsid w:val="000B435E"/>
    <w:rsid w:val="000B56DE"/>
    <w:rsid w:val="000C04CF"/>
    <w:rsid w:val="000C2E02"/>
    <w:rsid w:val="000C3A11"/>
    <w:rsid w:val="000C6427"/>
    <w:rsid w:val="000C65B3"/>
    <w:rsid w:val="000D476A"/>
    <w:rsid w:val="000D54A8"/>
    <w:rsid w:val="000D5AC7"/>
    <w:rsid w:val="000D5C91"/>
    <w:rsid w:val="000D6295"/>
    <w:rsid w:val="000D66FF"/>
    <w:rsid w:val="000D7A7C"/>
    <w:rsid w:val="000E0D5A"/>
    <w:rsid w:val="000E75D3"/>
    <w:rsid w:val="000F0B20"/>
    <w:rsid w:val="000F0E24"/>
    <w:rsid w:val="000F2E50"/>
    <w:rsid w:val="000F36A8"/>
    <w:rsid w:val="000F57BA"/>
    <w:rsid w:val="000F6A5E"/>
    <w:rsid w:val="000F6C9A"/>
    <w:rsid w:val="000F73ED"/>
    <w:rsid w:val="000F7B78"/>
    <w:rsid w:val="001001CC"/>
    <w:rsid w:val="001010A7"/>
    <w:rsid w:val="001028D5"/>
    <w:rsid w:val="00105720"/>
    <w:rsid w:val="00112FC7"/>
    <w:rsid w:val="0011325E"/>
    <w:rsid w:val="00117BAE"/>
    <w:rsid w:val="0012037E"/>
    <w:rsid w:val="00121848"/>
    <w:rsid w:val="0012233F"/>
    <w:rsid w:val="00122B6D"/>
    <w:rsid w:val="00122D66"/>
    <w:rsid w:val="001270E3"/>
    <w:rsid w:val="00127685"/>
    <w:rsid w:val="00131BF3"/>
    <w:rsid w:val="0013481F"/>
    <w:rsid w:val="00136D17"/>
    <w:rsid w:val="0014178B"/>
    <w:rsid w:val="001437CF"/>
    <w:rsid w:val="00144579"/>
    <w:rsid w:val="00145C1C"/>
    <w:rsid w:val="001464C7"/>
    <w:rsid w:val="00147814"/>
    <w:rsid w:val="00147BB0"/>
    <w:rsid w:val="00152E3A"/>
    <w:rsid w:val="00153638"/>
    <w:rsid w:val="00154B5B"/>
    <w:rsid w:val="00155094"/>
    <w:rsid w:val="001558D9"/>
    <w:rsid w:val="0016165B"/>
    <w:rsid w:val="00161805"/>
    <w:rsid w:val="00162189"/>
    <w:rsid w:val="00163092"/>
    <w:rsid w:val="00165609"/>
    <w:rsid w:val="001708C4"/>
    <w:rsid w:val="0017124C"/>
    <w:rsid w:val="00173451"/>
    <w:rsid w:val="0017491F"/>
    <w:rsid w:val="00175297"/>
    <w:rsid w:val="00177E76"/>
    <w:rsid w:val="00180BE8"/>
    <w:rsid w:val="00181944"/>
    <w:rsid w:val="001819BB"/>
    <w:rsid w:val="00182D57"/>
    <w:rsid w:val="00190EB0"/>
    <w:rsid w:val="001911DE"/>
    <w:rsid w:val="00191D94"/>
    <w:rsid w:val="00192E2A"/>
    <w:rsid w:val="00195C40"/>
    <w:rsid w:val="00196F8B"/>
    <w:rsid w:val="001A03A3"/>
    <w:rsid w:val="001A1B2A"/>
    <w:rsid w:val="001A3F23"/>
    <w:rsid w:val="001A5D4B"/>
    <w:rsid w:val="001A5DE2"/>
    <w:rsid w:val="001A685A"/>
    <w:rsid w:val="001B01D6"/>
    <w:rsid w:val="001B045A"/>
    <w:rsid w:val="001B151B"/>
    <w:rsid w:val="001B21D6"/>
    <w:rsid w:val="001B2D62"/>
    <w:rsid w:val="001B49D9"/>
    <w:rsid w:val="001B6873"/>
    <w:rsid w:val="001B73CA"/>
    <w:rsid w:val="001C08AA"/>
    <w:rsid w:val="001C46B6"/>
    <w:rsid w:val="001C48E0"/>
    <w:rsid w:val="001C5A40"/>
    <w:rsid w:val="001C7365"/>
    <w:rsid w:val="001C7759"/>
    <w:rsid w:val="001D3481"/>
    <w:rsid w:val="001D5FCB"/>
    <w:rsid w:val="001E10EA"/>
    <w:rsid w:val="001E3DAE"/>
    <w:rsid w:val="001E40B0"/>
    <w:rsid w:val="001E470A"/>
    <w:rsid w:val="001E5CF9"/>
    <w:rsid w:val="001E70B7"/>
    <w:rsid w:val="001F15C7"/>
    <w:rsid w:val="001F1D08"/>
    <w:rsid w:val="001F2B43"/>
    <w:rsid w:val="001F3035"/>
    <w:rsid w:val="001F487B"/>
    <w:rsid w:val="001F504A"/>
    <w:rsid w:val="001F6450"/>
    <w:rsid w:val="001F64D1"/>
    <w:rsid w:val="00202678"/>
    <w:rsid w:val="0020306E"/>
    <w:rsid w:val="002052F0"/>
    <w:rsid w:val="002100DF"/>
    <w:rsid w:val="0021328A"/>
    <w:rsid w:val="00214981"/>
    <w:rsid w:val="00220989"/>
    <w:rsid w:val="00222A31"/>
    <w:rsid w:val="002273C1"/>
    <w:rsid w:val="002312D8"/>
    <w:rsid w:val="00231B16"/>
    <w:rsid w:val="002359F3"/>
    <w:rsid w:val="002372E5"/>
    <w:rsid w:val="00237A1C"/>
    <w:rsid w:val="00237FD4"/>
    <w:rsid w:val="00240641"/>
    <w:rsid w:val="002462AA"/>
    <w:rsid w:val="00246B15"/>
    <w:rsid w:val="00247B99"/>
    <w:rsid w:val="00250A30"/>
    <w:rsid w:val="00254BED"/>
    <w:rsid w:val="002554ED"/>
    <w:rsid w:val="00255FC4"/>
    <w:rsid w:val="00257421"/>
    <w:rsid w:val="002576FB"/>
    <w:rsid w:val="002620DB"/>
    <w:rsid w:val="0026633A"/>
    <w:rsid w:val="00266613"/>
    <w:rsid w:val="00275C10"/>
    <w:rsid w:val="00280FF4"/>
    <w:rsid w:val="00281450"/>
    <w:rsid w:val="0028339A"/>
    <w:rsid w:val="002840F0"/>
    <w:rsid w:val="00296D6D"/>
    <w:rsid w:val="00297CD3"/>
    <w:rsid w:val="002A0DA2"/>
    <w:rsid w:val="002A222C"/>
    <w:rsid w:val="002A2B77"/>
    <w:rsid w:val="002B22F4"/>
    <w:rsid w:val="002B2D78"/>
    <w:rsid w:val="002B6864"/>
    <w:rsid w:val="002C0803"/>
    <w:rsid w:val="002C25B4"/>
    <w:rsid w:val="002C2CE8"/>
    <w:rsid w:val="002C5052"/>
    <w:rsid w:val="002C56A9"/>
    <w:rsid w:val="002C63D6"/>
    <w:rsid w:val="002C7AD1"/>
    <w:rsid w:val="002D2167"/>
    <w:rsid w:val="002D2223"/>
    <w:rsid w:val="002D3F12"/>
    <w:rsid w:val="002E54E2"/>
    <w:rsid w:val="002E5E1E"/>
    <w:rsid w:val="002E6B5B"/>
    <w:rsid w:val="002E7B7C"/>
    <w:rsid w:val="002F01EA"/>
    <w:rsid w:val="002F0234"/>
    <w:rsid w:val="002F21F2"/>
    <w:rsid w:val="002F2CD9"/>
    <w:rsid w:val="002F41EA"/>
    <w:rsid w:val="002F53A0"/>
    <w:rsid w:val="002F5A9E"/>
    <w:rsid w:val="002F7C6B"/>
    <w:rsid w:val="003012A0"/>
    <w:rsid w:val="00303EA9"/>
    <w:rsid w:val="00304A38"/>
    <w:rsid w:val="00307CA4"/>
    <w:rsid w:val="00323852"/>
    <w:rsid w:val="003252BE"/>
    <w:rsid w:val="00325FA5"/>
    <w:rsid w:val="003323AF"/>
    <w:rsid w:val="00334FEE"/>
    <w:rsid w:val="00336242"/>
    <w:rsid w:val="003371E2"/>
    <w:rsid w:val="00337E74"/>
    <w:rsid w:val="00350573"/>
    <w:rsid w:val="003519DF"/>
    <w:rsid w:val="00351DFE"/>
    <w:rsid w:val="00351F17"/>
    <w:rsid w:val="0035203A"/>
    <w:rsid w:val="003522AA"/>
    <w:rsid w:val="00354026"/>
    <w:rsid w:val="003554FC"/>
    <w:rsid w:val="00356003"/>
    <w:rsid w:val="00356348"/>
    <w:rsid w:val="0036240B"/>
    <w:rsid w:val="003636F2"/>
    <w:rsid w:val="003639C5"/>
    <w:rsid w:val="0036713B"/>
    <w:rsid w:val="00367E3F"/>
    <w:rsid w:val="00370A54"/>
    <w:rsid w:val="00372D2E"/>
    <w:rsid w:val="003751B0"/>
    <w:rsid w:val="00375547"/>
    <w:rsid w:val="00382FCC"/>
    <w:rsid w:val="003834D1"/>
    <w:rsid w:val="003870E9"/>
    <w:rsid w:val="003879A9"/>
    <w:rsid w:val="00390ED3"/>
    <w:rsid w:val="00391DA0"/>
    <w:rsid w:val="00392874"/>
    <w:rsid w:val="00393E69"/>
    <w:rsid w:val="003950D0"/>
    <w:rsid w:val="0039678B"/>
    <w:rsid w:val="003A47B1"/>
    <w:rsid w:val="003B0E29"/>
    <w:rsid w:val="003C288B"/>
    <w:rsid w:val="003C4EA8"/>
    <w:rsid w:val="003C726E"/>
    <w:rsid w:val="003D0147"/>
    <w:rsid w:val="003D739F"/>
    <w:rsid w:val="003D79EC"/>
    <w:rsid w:val="003E30AC"/>
    <w:rsid w:val="003E4616"/>
    <w:rsid w:val="003F5D82"/>
    <w:rsid w:val="003F67E9"/>
    <w:rsid w:val="0040194B"/>
    <w:rsid w:val="00401B26"/>
    <w:rsid w:val="004039B0"/>
    <w:rsid w:val="0040753E"/>
    <w:rsid w:val="004113D8"/>
    <w:rsid w:val="0041466D"/>
    <w:rsid w:val="00414F1B"/>
    <w:rsid w:val="00420B9D"/>
    <w:rsid w:val="004220BC"/>
    <w:rsid w:val="00427DC0"/>
    <w:rsid w:val="0043013C"/>
    <w:rsid w:val="00430A21"/>
    <w:rsid w:val="004310FD"/>
    <w:rsid w:val="00434905"/>
    <w:rsid w:val="004371D8"/>
    <w:rsid w:val="00442141"/>
    <w:rsid w:val="00442EDF"/>
    <w:rsid w:val="00444125"/>
    <w:rsid w:val="00447002"/>
    <w:rsid w:val="004524D5"/>
    <w:rsid w:val="00452F47"/>
    <w:rsid w:val="004531E9"/>
    <w:rsid w:val="00454B81"/>
    <w:rsid w:val="00455668"/>
    <w:rsid w:val="004575F9"/>
    <w:rsid w:val="00460BD7"/>
    <w:rsid w:val="0046206B"/>
    <w:rsid w:val="00464049"/>
    <w:rsid w:val="0046526B"/>
    <w:rsid w:val="00472A3E"/>
    <w:rsid w:val="00473C43"/>
    <w:rsid w:val="00476781"/>
    <w:rsid w:val="00477905"/>
    <w:rsid w:val="00482D30"/>
    <w:rsid w:val="0048440B"/>
    <w:rsid w:val="0048517C"/>
    <w:rsid w:val="0048637C"/>
    <w:rsid w:val="004902BC"/>
    <w:rsid w:val="00491DF4"/>
    <w:rsid w:val="004924D3"/>
    <w:rsid w:val="0049324F"/>
    <w:rsid w:val="00496380"/>
    <w:rsid w:val="00496845"/>
    <w:rsid w:val="0049728E"/>
    <w:rsid w:val="00497D24"/>
    <w:rsid w:val="004A5CCF"/>
    <w:rsid w:val="004A6107"/>
    <w:rsid w:val="004A62AB"/>
    <w:rsid w:val="004B412F"/>
    <w:rsid w:val="004C0210"/>
    <w:rsid w:val="004C544F"/>
    <w:rsid w:val="004C5ADC"/>
    <w:rsid w:val="004C677F"/>
    <w:rsid w:val="004C72DD"/>
    <w:rsid w:val="004C7E38"/>
    <w:rsid w:val="004D1A2F"/>
    <w:rsid w:val="004D2E88"/>
    <w:rsid w:val="004D61B5"/>
    <w:rsid w:val="004D7B73"/>
    <w:rsid w:val="004E0170"/>
    <w:rsid w:val="004E0249"/>
    <w:rsid w:val="004E173A"/>
    <w:rsid w:val="004E3604"/>
    <w:rsid w:val="004E37D5"/>
    <w:rsid w:val="004E5138"/>
    <w:rsid w:val="004E5A6A"/>
    <w:rsid w:val="004E71B0"/>
    <w:rsid w:val="004E7651"/>
    <w:rsid w:val="004F0067"/>
    <w:rsid w:val="004F0087"/>
    <w:rsid w:val="004F2278"/>
    <w:rsid w:val="004F51DB"/>
    <w:rsid w:val="00502737"/>
    <w:rsid w:val="0050276B"/>
    <w:rsid w:val="0050359D"/>
    <w:rsid w:val="00506115"/>
    <w:rsid w:val="00507B8E"/>
    <w:rsid w:val="005119D0"/>
    <w:rsid w:val="005129D6"/>
    <w:rsid w:val="00513910"/>
    <w:rsid w:val="005202C7"/>
    <w:rsid w:val="00522974"/>
    <w:rsid w:val="005233C6"/>
    <w:rsid w:val="005244D2"/>
    <w:rsid w:val="005265D5"/>
    <w:rsid w:val="00530B0C"/>
    <w:rsid w:val="00533B3B"/>
    <w:rsid w:val="005345EB"/>
    <w:rsid w:val="0054412F"/>
    <w:rsid w:val="00545992"/>
    <w:rsid w:val="005470B5"/>
    <w:rsid w:val="00550102"/>
    <w:rsid w:val="0055149A"/>
    <w:rsid w:val="0055389F"/>
    <w:rsid w:val="005555EB"/>
    <w:rsid w:val="00557D4B"/>
    <w:rsid w:val="005615FF"/>
    <w:rsid w:val="005632FF"/>
    <w:rsid w:val="005635AB"/>
    <w:rsid w:val="00564EE8"/>
    <w:rsid w:val="00565BD6"/>
    <w:rsid w:val="00565F84"/>
    <w:rsid w:val="005667CD"/>
    <w:rsid w:val="005669FB"/>
    <w:rsid w:val="005705E3"/>
    <w:rsid w:val="005710C1"/>
    <w:rsid w:val="0057175E"/>
    <w:rsid w:val="00574785"/>
    <w:rsid w:val="00574B5D"/>
    <w:rsid w:val="00574FEA"/>
    <w:rsid w:val="00576808"/>
    <w:rsid w:val="005771B3"/>
    <w:rsid w:val="0058220F"/>
    <w:rsid w:val="0058782B"/>
    <w:rsid w:val="00590435"/>
    <w:rsid w:val="00594088"/>
    <w:rsid w:val="00594BFA"/>
    <w:rsid w:val="00597EF8"/>
    <w:rsid w:val="005A0727"/>
    <w:rsid w:val="005A12E9"/>
    <w:rsid w:val="005A54E7"/>
    <w:rsid w:val="005A6650"/>
    <w:rsid w:val="005A69C0"/>
    <w:rsid w:val="005B0C89"/>
    <w:rsid w:val="005B3578"/>
    <w:rsid w:val="005B5F21"/>
    <w:rsid w:val="005B76AB"/>
    <w:rsid w:val="005C01B1"/>
    <w:rsid w:val="005C4790"/>
    <w:rsid w:val="005C6C0A"/>
    <w:rsid w:val="005D094E"/>
    <w:rsid w:val="005D1499"/>
    <w:rsid w:val="005D320F"/>
    <w:rsid w:val="005D7F41"/>
    <w:rsid w:val="005E5335"/>
    <w:rsid w:val="005E6FF5"/>
    <w:rsid w:val="005E7F06"/>
    <w:rsid w:val="005F243E"/>
    <w:rsid w:val="005F2B81"/>
    <w:rsid w:val="005F32AE"/>
    <w:rsid w:val="005F43FD"/>
    <w:rsid w:val="00606354"/>
    <w:rsid w:val="00606EAD"/>
    <w:rsid w:val="00613F09"/>
    <w:rsid w:val="00613FDD"/>
    <w:rsid w:val="0061532B"/>
    <w:rsid w:val="00615D0D"/>
    <w:rsid w:val="006173FB"/>
    <w:rsid w:val="00617962"/>
    <w:rsid w:val="006217DF"/>
    <w:rsid w:val="00621A1D"/>
    <w:rsid w:val="00623AC9"/>
    <w:rsid w:val="00623FDE"/>
    <w:rsid w:val="006261E7"/>
    <w:rsid w:val="00626346"/>
    <w:rsid w:val="006267A9"/>
    <w:rsid w:val="00627E9A"/>
    <w:rsid w:val="00631646"/>
    <w:rsid w:val="0063419A"/>
    <w:rsid w:val="006344F8"/>
    <w:rsid w:val="00634841"/>
    <w:rsid w:val="00636A4B"/>
    <w:rsid w:val="00637532"/>
    <w:rsid w:val="00640767"/>
    <w:rsid w:val="006415C9"/>
    <w:rsid w:val="0064180D"/>
    <w:rsid w:val="00642430"/>
    <w:rsid w:val="00643104"/>
    <w:rsid w:val="00644263"/>
    <w:rsid w:val="006456F2"/>
    <w:rsid w:val="00650CD8"/>
    <w:rsid w:val="00652793"/>
    <w:rsid w:val="0065308D"/>
    <w:rsid w:val="00657C4D"/>
    <w:rsid w:val="00661875"/>
    <w:rsid w:val="00663E93"/>
    <w:rsid w:val="006644B5"/>
    <w:rsid w:val="006649F2"/>
    <w:rsid w:val="0066682B"/>
    <w:rsid w:val="006802DB"/>
    <w:rsid w:val="006829D1"/>
    <w:rsid w:val="00692B74"/>
    <w:rsid w:val="006A0896"/>
    <w:rsid w:val="006A12B2"/>
    <w:rsid w:val="006A330F"/>
    <w:rsid w:val="006A3B6E"/>
    <w:rsid w:val="006A3D72"/>
    <w:rsid w:val="006A472E"/>
    <w:rsid w:val="006A4F2E"/>
    <w:rsid w:val="006A7816"/>
    <w:rsid w:val="006A78F7"/>
    <w:rsid w:val="006B0C07"/>
    <w:rsid w:val="006B1737"/>
    <w:rsid w:val="006B3545"/>
    <w:rsid w:val="006B4FAE"/>
    <w:rsid w:val="006B6064"/>
    <w:rsid w:val="006C1113"/>
    <w:rsid w:val="006C2338"/>
    <w:rsid w:val="006C241F"/>
    <w:rsid w:val="006D0970"/>
    <w:rsid w:val="006D0BDE"/>
    <w:rsid w:val="006D1CCB"/>
    <w:rsid w:val="006D3C05"/>
    <w:rsid w:val="006D625A"/>
    <w:rsid w:val="006D7413"/>
    <w:rsid w:val="006D7E13"/>
    <w:rsid w:val="006E16D0"/>
    <w:rsid w:val="006E2525"/>
    <w:rsid w:val="006E2BF5"/>
    <w:rsid w:val="006E47A8"/>
    <w:rsid w:val="006F0BFA"/>
    <w:rsid w:val="006F4E4A"/>
    <w:rsid w:val="00700C71"/>
    <w:rsid w:val="0070158B"/>
    <w:rsid w:val="007026B2"/>
    <w:rsid w:val="007135A0"/>
    <w:rsid w:val="0071505B"/>
    <w:rsid w:val="007160EA"/>
    <w:rsid w:val="007166D0"/>
    <w:rsid w:val="00721A61"/>
    <w:rsid w:val="00721E63"/>
    <w:rsid w:val="00724933"/>
    <w:rsid w:val="00725435"/>
    <w:rsid w:val="00730416"/>
    <w:rsid w:val="007305EF"/>
    <w:rsid w:val="007315A4"/>
    <w:rsid w:val="00731A3A"/>
    <w:rsid w:val="00731AC2"/>
    <w:rsid w:val="00732582"/>
    <w:rsid w:val="0073378E"/>
    <w:rsid w:val="00734FF7"/>
    <w:rsid w:val="00735FA8"/>
    <w:rsid w:val="0074113A"/>
    <w:rsid w:val="007412AF"/>
    <w:rsid w:val="007436A1"/>
    <w:rsid w:val="007438AA"/>
    <w:rsid w:val="00745999"/>
    <w:rsid w:val="00745EEC"/>
    <w:rsid w:val="0074696D"/>
    <w:rsid w:val="00752D89"/>
    <w:rsid w:val="00755708"/>
    <w:rsid w:val="00755BF8"/>
    <w:rsid w:val="007613CA"/>
    <w:rsid w:val="00762BA0"/>
    <w:rsid w:val="00763459"/>
    <w:rsid w:val="00771BA5"/>
    <w:rsid w:val="00771EC6"/>
    <w:rsid w:val="007726CA"/>
    <w:rsid w:val="00777082"/>
    <w:rsid w:val="00780368"/>
    <w:rsid w:val="007826A0"/>
    <w:rsid w:val="00782BED"/>
    <w:rsid w:val="0078402A"/>
    <w:rsid w:val="00784E60"/>
    <w:rsid w:val="00790958"/>
    <w:rsid w:val="00791843"/>
    <w:rsid w:val="0079190D"/>
    <w:rsid w:val="0079214E"/>
    <w:rsid w:val="00795D56"/>
    <w:rsid w:val="007A2863"/>
    <w:rsid w:val="007A3FD0"/>
    <w:rsid w:val="007A4386"/>
    <w:rsid w:val="007A5BAC"/>
    <w:rsid w:val="007B0F9A"/>
    <w:rsid w:val="007B37C9"/>
    <w:rsid w:val="007B4372"/>
    <w:rsid w:val="007B4CB6"/>
    <w:rsid w:val="007B685D"/>
    <w:rsid w:val="007B733A"/>
    <w:rsid w:val="007C0610"/>
    <w:rsid w:val="007C47A4"/>
    <w:rsid w:val="007C64E5"/>
    <w:rsid w:val="007C7A97"/>
    <w:rsid w:val="007D1F98"/>
    <w:rsid w:val="007D4815"/>
    <w:rsid w:val="007D6A6C"/>
    <w:rsid w:val="007E23F3"/>
    <w:rsid w:val="007E3CF4"/>
    <w:rsid w:val="007E4C4B"/>
    <w:rsid w:val="007E4FFD"/>
    <w:rsid w:val="007E5BFE"/>
    <w:rsid w:val="007E5CCA"/>
    <w:rsid w:val="007E6668"/>
    <w:rsid w:val="007F00D3"/>
    <w:rsid w:val="007F0CFE"/>
    <w:rsid w:val="007F0D00"/>
    <w:rsid w:val="007F22E2"/>
    <w:rsid w:val="007F5665"/>
    <w:rsid w:val="007F6304"/>
    <w:rsid w:val="00800F41"/>
    <w:rsid w:val="008034C2"/>
    <w:rsid w:val="00807C61"/>
    <w:rsid w:val="00814322"/>
    <w:rsid w:val="00814BD5"/>
    <w:rsid w:val="00816D85"/>
    <w:rsid w:val="0082315C"/>
    <w:rsid w:val="00825C1E"/>
    <w:rsid w:val="00827014"/>
    <w:rsid w:val="00830165"/>
    <w:rsid w:val="00830F30"/>
    <w:rsid w:val="00831AC1"/>
    <w:rsid w:val="008321DD"/>
    <w:rsid w:val="00832F56"/>
    <w:rsid w:val="00837175"/>
    <w:rsid w:val="00837F4F"/>
    <w:rsid w:val="0084108C"/>
    <w:rsid w:val="00843EE1"/>
    <w:rsid w:val="008460D3"/>
    <w:rsid w:val="0084623A"/>
    <w:rsid w:val="008468C4"/>
    <w:rsid w:val="0085106A"/>
    <w:rsid w:val="00851B1A"/>
    <w:rsid w:val="00851C91"/>
    <w:rsid w:val="00854B85"/>
    <w:rsid w:val="00855EB2"/>
    <w:rsid w:val="0085735B"/>
    <w:rsid w:val="00861041"/>
    <w:rsid w:val="00861103"/>
    <w:rsid w:val="00863001"/>
    <w:rsid w:val="008657DA"/>
    <w:rsid w:val="00865853"/>
    <w:rsid w:val="00866686"/>
    <w:rsid w:val="00866D3E"/>
    <w:rsid w:val="0087188C"/>
    <w:rsid w:val="008732FD"/>
    <w:rsid w:val="00874078"/>
    <w:rsid w:val="00882FD4"/>
    <w:rsid w:val="00884BAD"/>
    <w:rsid w:val="00890A0F"/>
    <w:rsid w:val="00892F24"/>
    <w:rsid w:val="0089354F"/>
    <w:rsid w:val="00895BB7"/>
    <w:rsid w:val="008A06EA"/>
    <w:rsid w:val="008A6385"/>
    <w:rsid w:val="008A6B08"/>
    <w:rsid w:val="008B57F5"/>
    <w:rsid w:val="008C1CCD"/>
    <w:rsid w:val="008C1E5B"/>
    <w:rsid w:val="008C34BE"/>
    <w:rsid w:val="008C3751"/>
    <w:rsid w:val="008D114D"/>
    <w:rsid w:val="008D54C8"/>
    <w:rsid w:val="008D60FF"/>
    <w:rsid w:val="008D76A7"/>
    <w:rsid w:val="008E0A98"/>
    <w:rsid w:val="008E135F"/>
    <w:rsid w:val="008E2F7D"/>
    <w:rsid w:val="008E3929"/>
    <w:rsid w:val="008F02E7"/>
    <w:rsid w:val="008F3991"/>
    <w:rsid w:val="008F5421"/>
    <w:rsid w:val="008F5E74"/>
    <w:rsid w:val="008F7456"/>
    <w:rsid w:val="0090792D"/>
    <w:rsid w:val="0091059C"/>
    <w:rsid w:val="0091771A"/>
    <w:rsid w:val="00921BB9"/>
    <w:rsid w:val="00926C90"/>
    <w:rsid w:val="0093146A"/>
    <w:rsid w:val="00931599"/>
    <w:rsid w:val="00931AA3"/>
    <w:rsid w:val="00934D58"/>
    <w:rsid w:val="0094077A"/>
    <w:rsid w:val="00942403"/>
    <w:rsid w:val="00942BB7"/>
    <w:rsid w:val="00943244"/>
    <w:rsid w:val="00943708"/>
    <w:rsid w:val="009445A1"/>
    <w:rsid w:val="00944800"/>
    <w:rsid w:val="009460C4"/>
    <w:rsid w:val="00947D55"/>
    <w:rsid w:val="009514C3"/>
    <w:rsid w:val="009554E8"/>
    <w:rsid w:val="00957CD1"/>
    <w:rsid w:val="00961593"/>
    <w:rsid w:val="009618FD"/>
    <w:rsid w:val="00961A55"/>
    <w:rsid w:val="009623DC"/>
    <w:rsid w:val="009629A8"/>
    <w:rsid w:val="00963983"/>
    <w:rsid w:val="0096487F"/>
    <w:rsid w:val="00970539"/>
    <w:rsid w:val="00970915"/>
    <w:rsid w:val="00970AE3"/>
    <w:rsid w:val="009724AC"/>
    <w:rsid w:val="00974410"/>
    <w:rsid w:val="00976EC4"/>
    <w:rsid w:val="00977F46"/>
    <w:rsid w:val="00986609"/>
    <w:rsid w:val="00986A6A"/>
    <w:rsid w:val="00990BDC"/>
    <w:rsid w:val="0099121A"/>
    <w:rsid w:val="0099310A"/>
    <w:rsid w:val="0099467C"/>
    <w:rsid w:val="009957B3"/>
    <w:rsid w:val="009A0DC2"/>
    <w:rsid w:val="009A389E"/>
    <w:rsid w:val="009B0C04"/>
    <w:rsid w:val="009B316D"/>
    <w:rsid w:val="009B3F25"/>
    <w:rsid w:val="009B56A5"/>
    <w:rsid w:val="009C1800"/>
    <w:rsid w:val="009C4450"/>
    <w:rsid w:val="009D1F99"/>
    <w:rsid w:val="009D21E6"/>
    <w:rsid w:val="009D50CF"/>
    <w:rsid w:val="009D52F4"/>
    <w:rsid w:val="009D6098"/>
    <w:rsid w:val="009E1EEC"/>
    <w:rsid w:val="009E238A"/>
    <w:rsid w:val="009E69EB"/>
    <w:rsid w:val="009F0995"/>
    <w:rsid w:val="009F0EC6"/>
    <w:rsid w:val="009F32D8"/>
    <w:rsid w:val="009F52AA"/>
    <w:rsid w:val="009F546A"/>
    <w:rsid w:val="009F5D6F"/>
    <w:rsid w:val="009F6228"/>
    <w:rsid w:val="009F6534"/>
    <w:rsid w:val="009F78D4"/>
    <w:rsid w:val="00A012B8"/>
    <w:rsid w:val="00A016E6"/>
    <w:rsid w:val="00A037E9"/>
    <w:rsid w:val="00A05341"/>
    <w:rsid w:val="00A05C8D"/>
    <w:rsid w:val="00A06713"/>
    <w:rsid w:val="00A07BC5"/>
    <w:rsid w:val="00A101EE"/>
    <w:rsid w:val="00A11132"/>
    <w:rsid w:val="00A12FB6"/>
    <w:rsid w:val="00A13074"/>
    <w:rsid w:val="00A13A89"/>
    <w:rsid w:val="00A16AB0"/>
    <w:rsid w:val="00A16CA1"/>
    <w:rsid w:val="00A16E16"/>
    <w:rsid w:val="00A178C5"/>
    <w:rsid w:val="00A17D34"/>
    <w:rsid w:val="00A23896"/>
    <w:rsid w:val="00A24016"/>
    <w:rsid w:val="00A254F0"/>
    <w:rsid w:val="00A27241"/>
    <w:rsid w:val="00A27682"/>
    <w:rsid w:val="00A308E2"/>
    <w:rsid w:val="00A30CE4"/>
    <w:rsid w:val="00A32E4B"/>
    <w:rsid w:val="00A348E5"/>
    <w:rsid w:val="00A36831"/>
    <w:rsid w:val="00A371FE"/>
    <w:rsid w:val="00A431A5"/>
    <w:rsid w:val="00A434D1"/>
    <w:rsid w:val="00A44727"/>
    <w:rsid w:val="00A455B3"/>
    <w:rsid w:val="00A455F9"/>
    <w:rsid w:val="00A4564F"/>
    <w:rsid w:val="00A45A3E"/>
    <w:rsid w:val="00A46F3D"/>
    <w:rsid w:val="00A51EC6"/>
    <w:rsid w:val="00A51EE1"/>
    <w:rsid w:val="00A52631"/>
    <w:rsid w:val="00A61FC2"/>
    <w:rsid w:val="00A6336D"/>
    <w:rsid w:val="00A64ABC"/>
    <w:rsid w:val="00A64BE2"/>
    <w:rsid w:val="00A64C21"/>
    <w:rsid w:val="00A65B1E"/>
    <w:rsid w:val="00A6766B"/>
    <w:rsid w:val="00A70ED8"/>
    <w:rsid w:val="00A710F0"/>
    <w:rsid w:val="00A76B68"/>
    <w:rsid w:val="00A82939"/>
    <w:rsid w:val="00A82954"/>
    <w:rsid w:val="00A82FE4"/>
    <w:rsid w:val="00A83EF2"/>
    <w:rsid w:val="00A840F1"/>
    <w:rsid w:val="00A8597C"/>
    <w:rsid w:val="00A85B31"/>
    <w:rsid w:val="00A87BEE"/>
    <w:rsid w:val="00A87EF8"/>
    <w:rsid w:val="00A901D2"/>
    <w:rsid w:val="00A90DC6"/>
    <w:rsid w:val="00A911F1"/>
    <w:rsid w:val="00AA1517"/>
    <w:rsid w:val="00AA3229"/>
    <w:rsid w:val="00AA3812"/>
    <w:rsid w:val="00AA516A"/>
    <w:rsid w:val="00AA5343"/>
    <w:rsid w:val="00AB3D4A"/>
    <w:rsid w:val="00AB4345"/>
    <w:rsid w:val="00AB530E"/>
    <w:rsid w:val="00AB5E59"/>
    <w:rsid w:val="00AB74FA"/>
    <w:rsid w:val="00AB7BF9"/>
    <w:rsid w:val="00AC09EF"/>
    <w:rsid w:val="00AC11DA"/>
    <w:rsid w:val="00AC17DF"/>
    <w:rsid w:val="00AC225A"/>
    <w:rsid w:val="00AC35FC"/>
    <w:rsid w:val="00AC3A10"/>
    <w:rsid w:val="00AC4339"/>
    <w:rsid w:val="00AC45CF"/>
    <w:rsid w:val="00AC4876"/>
    <w:rsid w:val="00AC5548"/>
    <w:rsid w:val="00AC6BC5"/>
    <w:rsid w:val="00AC7E0B"/>
    <w:rsid w:val="00AD1815"/>
    <w:rsid w:val="00AD29C7"/>
    <w:rsid w:val="00AD30F5"/>
    <w:rsid w:val="00AD5764"/>
    <w:rsid w:val="00AD59EE"/>
    <w:rsid w:val="00AE49DF"/>
    <w:rsid w:val="00AE4B41"/>
    <w:rsid w:val="00AE4DD5"/>
    <w:rsid w:val="00AE6B55"/>
    <w:rsid w:val="00AE79F5"/>
    <w:rsid w:val="00AF2C78"/>
    <w:rsid w:val="00AF2EB4"/>
    <w:rsid w:val="00B029FA"/>
    <w:rsid w:val="00B04F6A"/>
    <w:rsid w:val="00B052B2"/>
    <w:rsid w:val="00B0560C"/>
    <w:rsid w:val="00B0577D"/>
    <w:rsid w:val="00B067BC"/>
    <w:rsid w:val="00B11041"/>
    <w:rsid w:val="00B13852"/>
    <w:rsid w:val="00B14704"/>
    <w:rsid w:val="00B16D96"/>
    <w:rsid w:val="00B16F69"/>
    <w:rsid w:val="00B16F6D"/>
    <w:rsid w:val="00B16FED"/>
    <w:rsid w:val="00B26222"/>
    <w:rsid w:val="00B3042A"/>
    <w:rsid w:val="00B317BD"/>
    <w:rsid w:val="00B3400F"/>
    <w:rsid w:val="00B366A1"/>
    <w:rsid w:val="00B37B47"/>
    <w:rsid w:val="00B406E0"/>
    <w:rsid w:val="00B41D08"/>
    <w:rsid w:val="00B446D1"/>
    <w:rsid w:val="00B46B24"/>
    <w:rsid w:val="00B46F93"/>
    <w:rsid w:val="00B52438"/>
    <w:rsid w:val="00B54D0E"/>
    <w:rsid w:val="00B56DF7"/>
    <w:rsid w:val="00B56F77"/>
    <w:rsid w:val="00B577BC"/>
    <w:rsid w:val="00B612D9"/>
    <w:rsid w:val="00B63C53"/>
    <w:rsid w:val="00B646FA"/>
    <w:rsid w:val="00B65828"/>
    <w:rsid w:val="00B672C9"/>
    <w:rsid w:val="00B704BA"/>
    <w:rsid w:val="00B71F08"/>
    <w:rsid w:val="00B72FD4"/>
    <w:rsid w:val="00B75CC9"/>
    <w:rsid w:val="00B75D1C"/>
    <w:rsid w:val="00B77959"/>
    <w:rsid w:val="00B80404"/>
    <w:rsid w:val="00B8161C"/>
    <w:rsid w:val="00B847BA"/>
    <w:rsid w:val="00B85289"/>
    <w:rsid w:val="00B85DFF"/>
    <w:rsid w:val="00B92393"/>
    <w:rsid w:val="00B972EC"/>
    <w:rsid w:val="00BA277E"/>
    <w:rsid w:val="00BA2CC7"/>
    <w:rsid w:val="00BA2DF8"/>
    <w:rsid w:val="00BA3A81"/>
    <w:rsid w:val="00BA66B0"/>
    <w:rsid w:val="00BB0ACF"/>
    <w:rsid w:val="00BB0D5E"/>
    <w:rsid w:val="00BB2256"/>
    <w:rsid w:val="00BB394C"/>
    <w:rsid w:val="00BB50BF"/>
    <w:rsid w:val="00BB58B1"/>
    <w:rsid w:val="00BB7A94"/>
    <w:rsid w:val="00BC1A55"/>
    <w:rsid w:val="00BC6A25"/>
    <w:rsid w:val="00BD3C1B"/>
    <w:rsid w:val="00BD3E07"/>
    <w:rsid w:val="00BE0105"/>
    <w:rsid w:val="00BE1319"/>
    <w:rsid w:val="00BE1381"/>
    <w:rsid w:val="00BE2234"/>
    <w:rsid w:val="00BE24EA"/>
    <w:rsid w:val="00BE286A"/>
    <w:rsid w:val="00BE2AA7"/>
    <w:rsid w:val="00BF06AC"/>
    <w:rsid w:val="00BF1893"/>
    <w:rsid w:val="00BF437C"/>
    <w:rsid w:val="00BF5565"/>
    <w:rsid w:val="00BF7D0C"/>
    <w:rsid w:val="00C00B62"/>
    <w:rsid w:val="00C01545"/>
    <w:rsid w:val="00C05074"/>
    <w:rsid w:val="00C0529B"/>
    <w:rsid w:val="00C05D38"/>
    <w:rsid w:val="00C11FC9"/>
    <w:rsid w:val="00C15C35"/>
    <w:rsid w:val="00C16870"/>
    <w:rsid w:val="00C16D3B"/>
    <w:rsid w:val="00C22718"/>
    <w:rsid w:val="00C25142"/>
    <w:rsid w:val="00C272AD"/>
    <w:rsid w:val="00C27461"/>
    <w:rsid w:val="00C302E0"/>
    <w:rsid w:val="00C322BA"/>
    <w:rsid w:val="00C33AB3"/>
    <w:rsid w:val="00C34DA3"/>
    <w:rsid w:val="00C40B44"/>
    <w:rsid w:val="00C41B54"/>
    <w:rsid w:val="00C4209F"/>
    <w:rsid w:val="00C42ED4"/>
    <w:rsid w:val="00C44E79"/>
    <w:rsid w:val="00C45A7D"/>
    <w:rsid w:val="00C45E33"/>
    <w:rsid w:val="00C47B66"/>
    <w:rsid w:val="00C528D0"/>
    <w:rsid w:val="00C54C17"/>
    <w:rsid w:val="00C607DD"/>
    <w:rsid w:val="00C649FB"/>
    <w:rsid w:val="00C7208B"/>
    <w:rsid w:val="00C73229"/>
    <w:rsid w:val="00C74811"/>
    <w:rsid w:val="00C75072"/>
    <w:rsid w:val="00C754DC"/>
    <w:rsid w:val="00C76CEF"/>
    <w:rsid w:val="00C82503"/>
    <w:rsid w:val="00C845A9"/>
    <w:rsid w:val="00C90548"/>
    <w:rsid w:val="00C92C47"/>
    <w:rsid w:val="00C93431"/>
    <w:rsid w:val="00C94629"/>
    <w:rsid w:val="00C95046"/>
    <w:rsid w:val="00C95362"/>
    <w:rsid w:val="00C95407"/>
    <w:rsid w:val="00CA1F7F"/>
    <w:rsid w:val="00CA2384"/>
    <w:rsid w:val="00CA2EBA"/>
    <w:rsid w:val="00CA73AA"/>
    <w:rsid w:val="00CA7BEF"/>
    <w:rsid w:val="00CB25D0"/>
    <w:rsid w:val="00CB2B66"/>
    <w:rsid w:val="00CB2D24"/>
    <w:rsid w:val="00CB39BF"/>
    <w:rsid w:val="00CB46BD"/>
    <w:rsid w:val="00CB4F5D"/>
    <w:rsid w:val="00CB6028"/>
    <w:rsid w:val="00CB6233"/>
    <w:rsid w:val="00CB7045"/>
    <w:rsid w:val="00CB7601"/>
    <w:rsid w:val="00CC1B49"/>
    <w:rsid w:val="00CC202D"/>
    <w:rsid w:val="00CC58D2"/>
    <w:rsid w:val="00CC5AF4"/>
    <w:rsid w:val="00CC5C0E"/>
    <w:rsid w:val="00CC7096"/>
    <w:rsid w:val="00CC7F5A"/>
    <w:rsid w:val="00CD1C4C"/>
    <w:rsid w:val="00CD1FCE"/>
    <w:rsid w:val="00CD2D4A"/>
    <w:rsid w:val="00CD4B19"/>
    <w:rsid w:val="00CD5269"/>
    <w:rsid w:val="00CD572A"/>
    <w:rsid w:val="00CD761C"/>
    <w:rsid w:val="00CE0165"/>
    <w:rsid w:val="00CE16D6"/>
    <w:rsid w:val="00CE39C5"/>
    <w:rsid w:val="00CE6CA0"/>
    <w:rsid w:val="00CE6E9F"/>
    <w:rsid w:val="00CF1E7D"/>
    <w:rsid w:val="00CF2EF1"/>
    <w:rsid w:val="00CF3C5B"/>
    <w:rsid w:val="00D016A9"/>
    <w:rsid w:val="00D01D49"/>
    <w:rsid w:val="00D0248B"/>
    <w:rsid w:val="00D02586"/>
    <w:rsid w:val="00D04B30"/>
    <w:rsid w:val="00D04FB9"/>
    <w:rsid w:val="00D0744D"/>
    <w:rsid w:val="00D12024"/>
    <w:rsid w:val="00D12E7F"/>
    <w:rsid w:val="00D1306E"/>
    <w:rsid w:val="00D14981"/>
    <w:rsid w:val="00D17207"/>
    <w:rsid w:val="00D17BC9"/>
    <w:rsid w:val="00D17E05"/>
    <w:rsid w:val="00D21F61"/>
    <w:rsid w:val="00D26E61"/>
    <w:rsid w:val="00D2721D"/>
    <w:rsid w:val="00D301B5"/>
    <w:rsid w:val="00D33042"/>
    <w:rsid w:val="00D3604A"/>
    <w:rsid w:val="00D376CD"/>
    <w:rsid w:val="00D40F0C"/>
    <w:rsid w:val="00D4218D"/>
    <w:rsid w:val="00D47ABA"/>
    <w:rsid w:val="00D504C3"/>
    <w:rsid w:val="00D52770"/>
    <w:rsid w:val="00D53179"/>
    <w:rsid w:val="00D54138"/>
    <w:rsid w:val="00D55469"/>
    <w:rsid w:val="00D56B19"/>
    <w:rsid w:val="00D56E2B"/>
    <w:rsid w:val="00D606C5"/>
    <w:rsid w:val="00D62172"/>
    <w:rsid w:val="00D626EC"/>
    <w:rsid w:val="00D6278F"/>
    <w:rsid w:val="00D64714"/>
    <w:rsid w:val="00D6484F"/>
    <w:rsid w:val="00D708DC"/>
    <w:rsid w:val="00D737F3"/>
    <w:rsid w:val="00D749C1"/>
    <w:rsid w:val="00D755B1"/>
    <w:rsid w:val="00D76D14"/>
    <w:rsid w:val="00D77E2A"/>
    <w:rsid w:val="00D95141"/>
    <w:rsid w:val="00D96C25"/>
    <w:rsid w:val="00DA1380"/>
    <w:rsid w:val="00DA3445"/>
    <w:rsid w:val="00DA5C8B"/>
    <w:rsid w:val="00DB08A9"/>
    <w:rsid w:val="00DB13CD"/>
    <w:rsid w:val="00DB19D1"/>
    <w:rsid w:val="00DB2385"/>
    <w:rsid w:val="00DB3AD9"/>
    <w:rsid w:val="00DB5790"/>
    <w:rsid w:val="00DC0378"/>
    <w:rsid w:val="00DC0D5F"/>
    <w:rsid w:val="00DC2445"/>
    <w:rsid w:val="00DC2EEC"/>
    <w:rsid w:val="00DC3A17"/>
    <w:rsid w:val="00DC411C"/>
    <w:rsid w:val="00DC5CD4"/>
    <w:rsid w:val="00DC61EE"/>
    <w:rsid w:val="00DC69BF"/>
    <w:rsid w:val="00DD0806"/>
    <w:rsid w:val="00DD084F"/>
    <w:rsid w:val="00DD59F0"/>
    <w:rsid w:val="00DD7019"/>
    <w:rsid w:val="00DD73B7"/>
    <w:rsid w:val="00DE67FC"/>
    <w:rsid w:val="00DE6857"/>
    <w:rsid w:val="00DF202A"/>
    <w:rsid w:val="00DF3BF0"/>
    <w:rsid w:val="00DF6D3C"/>
    <w:rsid w:val="00E01875"/>
    <w:rsid w:val="00E031AD"/>
    <w:rsid w:val="00E0485B"/>
    <w:rsid w:val="00E04F56"/>
    <w:rsid w:val="00E051CA"/>
    <w:rsid w:val="00E05FAF"/>
    <w:rsid w:val="00E0605F"/>
    <w:rsid w:val="00E068EF"/>
    <w:rsid w:val="00E1274D"/>
    <w:rsid w:val="00E14DDA"/>
    <w:rsid w:val="00E15B83"/>
    <w:rsid w:val="00E177B9"/>
    <w:rsid w:val="00E200C4"/>
    <w:rsid w:val="00E215C8"/>
    <w:rsid w:val="00E234CC"/>
    <w:rsid w:val="00E25F67"/>
    <w:rsid w:val="00E27F34"/>
    <w:rsid w:val="00E31ADA"/>
    <w:rsid w:val="00E3635B"/>
    <w:rsid w:val="00E3778F"/>
    <w:rsid w:val="00E42359"/>
    <w:rsid w:val="00E45DA3"/>
    <w:rsid w:val="00E508DF"/>
    <w:rsid w:val="00E50C49"/>
    <w:rsid w:val="00E52720"/>
    <w:rsid w:val="00E5521A"/>
    <w:rsid w:val="00E62B48"/>
    <w:rsid w:val="00E64833"/>
    <w:rsid w:val="00E6490B"/>
    <w:rsid w:val="00E64D46"/>
    <w:rsid w:val="00E664A6"/>
    <w:rsid w:val="00E671A7"/>
    <w:rsid w:val="00E7223F"/>
    <w:rsid w:val="00E743CB"/>
    <w:rsid w:val="00E77B47"/>
    <w:rsid w:val="00E77E9F"/>
    <w:rsid w:val="00E837C3"/>
    <w:rsid w:val="00E85080"/>
    <w:rsid w:val="00E86B81"/>
    <w:rsid w:val="00E90605"/>
    <w:rsid w:val="00E95A21"/>
    <w:rsid w:val="00E95B26"/>
    <w:rsid w:val="00EA47A0"/>
    <w:rsid w:val="00EB2DDE"/>
    <w:rsid w:val="00EB47C8"/>
    <w:rsid w:val="00EB6743"/>
    <w:rsid w:val="00EB7B7A"/>
    <w:rsid w:val="00EC0418"/>
    <w:rsid w:val="00EC41B0"/>
    <w:rsid w:val="00EC44E2"/>
    <w:rsid w:val="00EC5645"/>
    <w:rsid w:val="00EC5E4F"/>
    <w:rsid w:val="00EC6E21"/>
    <w:rsid w:val="00ED375D"/>
    <w:rsid w:val="00ED44E3"/>
    <w:rsid w:val="00ED5AE8"/>
    <w:rsid w:val="00ED7600"/>
    <w:rsid w:val="00EE05EC"/>
    <w:rsid w:val="00EE0679"/>
    <w:rsid w:val="00EE1CF5"/>
    <w:rsid w:val="00EE4644"/>
    <w:rsid w:val="00EF08D2"/>
    <w:rsid w:val="00EF25FC"/>
    <w:rsid w:val="00EF3762"/>
    <w:rsid w:val="00EF3B65"/>
    <w:rsid w:val="00EF4621"/>
    <w:rsid w:val="00EF57D9"/>
    <w:rsid w:val="00EF5992"/>
    <w:rsid w:val="00EF5F09"/>
    <w:rsid w:val="00F016F8"/>
    <w:rsid w:val="00F01F3D"/>
    <w:rsid w:val="00F02413"/>
    <w:rsid w:val="00F02DAA"/>
    <w:rsid w:val="00F02DFF"/>
    <w:rsid w:val="00F02E58"/>
    <w:rsid w:val="00F04C04"/>
    <w:rsid w:val="00F05193"/>
    <w:rsid w:val="00F05EFD"/>
    <w:rsid w:val="00F06E23"/>
    <w:rsid w:val="00F07FD2"/>
    <w:rsid w:val="00F20AD3"/>
    <w:rsid w:val="00F21E1D"/>
    <w:rsid w:val="00F23C31"/>
    <w:rsid w:val="00F24BFB"/>
    <w:rsid w:val="00F25B8B"/>
    <w:rsid w:val="00F2774C"/>
    <w:rsid w:val="00F33F07"/>
    <w:rsid w:val="00F36F9C"/>
    <w:rsid w:val="00F3703F"/>
    <w:rsid w:val="00F3773D"/>
    <w:rsid w:val="00F403E7"/>
    <w:rsid w:val="00F4371F"/>
    <w:rsid w:val="00F43C51"/>
    <w:rsid w:val="00F47263"/>
    <w:rsid w:val="00F47E32"/>
    <w:rsid w:val="00F57C25"/>
    <w:rsid w:val="00F60FD5"/>
    <w:rsid w:val="00F619A5"/>
    <w:rsid w:val="00F61D6F"/>
    <w:rsid w:val="00F622C4"/>
    <w:rsid w:val="00F62BC6"/>
    <w:rsid w:val="00F70442"/>
    <w:rsid w:val="00F7133E"/>
    <w:rsid w:val="00F731D0"/>
    <w:rsid w:val="00F731F3"/>
    <w:rsid w:val="00F77B0E"/>
    <w:rsid w:val="00F77FFA"/>
    <w:rsid w:val="00F82DFE"/>
    <w:rsid w:val="00F830DF"/>
    <w:rsid w:val="00F84C99"/>
    <w:rsid w:val="00F853B9"/>
    <w:rsid w:val="00F91104"/>
    <w:rsid w:val="00F95E6B"/>
    <w:rsid w:val="00FA0406"/>
    <w:rsid w:val="00FA3514"/>
    <w:rsid w:val="00FB0795"/>
    <w:rsid w:val="00FB09D0"/>
    <w:rsid w:val="00FB2859"/>
    <w:rsid w:val="00FB4C48"/>
    <w:rsid w:val="00FB6119"/>
    <w:rsid w:val="00FC1FDD"/>
    <w:rsid w:val="00FC33C3"/>
    <w:rsid w:val="00FC6BAA"/>
    <w:rsid w:val="00FE0694"/>
    <w:rsid w:val="00FE1C92"/>
    <w:rsid w:val="00FE3CF2"/>
    <w:rsid w:val="00FE57EE"/>
    <w:rsid w:val="00FF0666"/>
    <w:rsid w:val="00FF0D4E"/>
    <w:rsid w:val="00FF174D"/>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3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FF"/>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66FF"/>
    <w:pPr>
      <w:keepNext/>
      <w:spacing w:before="40" w:after="0"/>
      <w:ind w:firstLine="0"/>
      <w:jc w:val="left"/>
      <w:outlineLvl w:val="0"/>
    </w:pPr>
    <w:rPr>
      <w:rFonts w:ascii="Helvetica" w:hAnsi="Helvetica"/>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6FF"/>
    <w:rPr>
      <w:rFonts w:ascii="Helvetica" w:eastAsia="Times New Roman" w:hAnsi="Helvetica" w:cs="Times New Roman"/>
      <w:b/>
      <w:kern w:val="28"/>
      <w:szCs w:val="20"/>
      <w:lang w:val="en-US"/>
    </w:rPr>
  </w:style>
  <w:style w:type="paragraph" w:customStyle="1" w:styleId="Author">
    <w:name w:val="Author"/>
    <w:basedOn w:val="Normal"/>
    <w:rsid w:val="000D66FF"/>
    <w:pPr>
      <w:jc w:val="left"/>
    </w:pPr>
    <w:rPr>
      <w:rFonts w:ascii="Helvetica" w:hAnsi="Helvetica"/>
      <w:b/>
    </w:rPr>
  </w:style>
  <w:style w:type="paragraph" w:customStyle="1" w:styleId="Paper-Title">
    <w:name w:val="Paper-Title"/>
    <w:basedOn w:val="Normal"/>
    <w:rsid w:val="000D66FF"/>
    <w:pPr>
      <w:spacing w:after="120"/>
      <w:jc w:val="left"/>
    </w:pPr>
    <w:rPr>
      <w:rFonts w:ascii="Helvetica" w:hAnsi="Helvetica"/>
      <w:b/>
      <w:sz w:val="32"/>
    </w:rPr>
  </w:style>
  <w:style w:type="paragraph" w:styleId="Footer">
    <w:name w:val="footer"/>
    <w:basedOn w:val="Normal"/>
    <w:link w:val="FooterChar"/>
    <w:uiPriority w:val="99"/>
    <w:rsid w:val="000D66FF"/>
    <w:pPr>
      <w:tabs>
        <w:tab w:val="center" w:pos="4320"/>
        <w:tab w:val="right" w:pos="8640"/>
      </w:tabs>
    </w:pPr>
  </w:style>
  <w:style w:type="character" w:customStyle="1" w:styleId="FooterChar">
    <w:name w:val="Footer Char"/>
    <w:basedOn w:val="DefaultParagraphFont"/>
    <w:link w:val="Footer"/>
    <w:uiPriority w:val="99"/>
    <w:rsid w:val="000D66FF"/>
    <w:rPr>
      <w:rFonts w:ascii="Times New Roman" w:eastAsia="Times New Roman" w:hAnsi="Times New Roman" w:cs="Times New Roman"/>
      <w:sz w:val="20"/>
      <w:szCs w:val="20"/>
      <w:lang w:val="en-US"/>
    </w:rPr>
  </w:style>
  <w:style w:type="paragraph" w:customStyle="1" w:styleId="Abstract">
    <w:name w:val="Abstract"/>
    <w:basedOn w:val="Heading1"/>
    <w:rsid w:val="000D66FF"/>
    <w:pPr>
      <w:outlineLvl w:val="9"/>
    </w:pPr>
    <w:rPr>
      <w:sz w:val="20"/>
    </w:rPr>
  </w:style>
  <w:style w:type="paragraph" w:customStyle="1" w:styleId="References">
    <w:name w:val="References"/>
    <w:basedOn w:val="Normal"/>
    <w:rsid w:val="000D66FF"/>
    <w:pPr>
      <w:ind w:left="144" w:hanging="144"/>
    </w:pPr>
    <w:rPr>
      <w:sz w:val="18"/>
    </w:rPr>
  </w:style>
  <w:style w:type="character" w:styleId="PageNumber">
    <w:name w:val="page number"/>
    <w:basedOn w:val="DefaultParagraphFont"/>
    <w:semiHidden/>
    <w:rsid w:val="000D66FF"/>
  </w:style>
  <w:style w:type="paragraph" w:styleId="BodyTextIndent">
    <w:name w:val="Body Text Indent"/>
    <w:basedOn w:val="Normal"/>
    <w:link w:val="BodyTextIndentChar"/>
    <w:semiHidden/>
    <w:rsid w:val="000D66FF"/>
    <w:pPr>
      <w:spacing w:after="0"/>
      <w:ind w:firstLine="360"/>
    </w:pPr>
  </w:style>
  <w:style w:type="character" w:customStyle="1" w:styleId="BodyTextIndentChar">
    <w:name w:val="Body Text Indent Char"/>
    <w:basedOn w:val="DefaultParagraphFont"/>
    <w:link w:val="BodyTextIndent"/>
    <w:semiHidden/>
    <w:rsid w:val="000D66FF"/>
    <w:rPr>
      <w:rFonts w:ascii="Times New Roman" w:eastAsia="Times New Roman" w:hAnsi="Times New Roman" w:cs="Times New Roman"/>
      <w:sz w:val="20"/>
      <w:szCs w:val="20"/>
      <w:lang w:val="en-US"/>
    </w:rPr>
  </w:style>
  <w:style w:type="paragraph" w:styleId="Caption">
    <w:name w:val="caption"/>
    <w:basedOn w:val="Normal"/>
    <w:next w:val="Normal"/>
    <w:qFormat/>
    <w:rsid w:val="000D66FF"/>
    <w:pPr>
      <w:jc w:val="center"/>
    </w:pPr>
    <w:rPr>
      <w:rFonts w:cs="Miriam"/>
      <w:bCs/>
      <w:szCs w:val="18"/>
      <w:lang w:eastAsia="en-AU"/>
    </w:rPr>
  </w:style>
  <w:style w:type="character" w:styleId="Hyperlink">
    <w:name w:val="Hyperlink"/>
    <w:uiPriority w:val="99"/>
    <w:rsid w:val="000D66FF"/>
    <w:rPr>
      <w:color w:val="0000FF"/>
      <w:u w:val="single"/>
    </w:rPr>
  </w:style>
  <w:style w:type="paragraph" w:styleId="BodyTextIndent2">
    <w:name w:val="Body Text Indent 2"/>
    <w:basedOn w:val="Normal"/>
    <w:link w:val="BodyTextIndent2Char"/>
    <w:semiHidden/>
    <w:rsid w:val="000D66FF"/>
  </w:style>
  <w:style w:type="character" w:customStyle="1" w:styleId="BodyTextIndent2Char">
    <w:name w:val="Body Text Indent 2 Char"/>
    <w:basedOn w:val="DefaultParagraphFont"/>
    <w:link w:val="BodyTextIndent2"/>
    <w:semiHidden/>
    <w:rsid w:val="000D66FF"/>
    <w:rPr>
      <w:rFonts w:ascii="Times New Roman" w:eastAsia="Times New Roman" w:hAnsi="Times New Roman" w:cs="Times New Roman"/>
      <w:sz w:val="20"/>
      <w:szCs w:val="20"/>
      <w:lang w:val="en-US"/>
    </w:rPr>
  </w:style>
  <w:style w:type="character" w:customStyle="1" w:styleId="pagetitle1">
    <w:name w:val="pagetitle1"/>
    <w:basedOn w:val="DefaultParagraphFont"/>
    <w:rsid w:val="000D66FF"/>
    <w:rPr>
      <w:rFonts w:ascii="Arial" w:hAnsi="Arial" w:cs="Arial" w:hint="default"/>
      <w:b w:val="0"/>
      <w:bCs w:val="0"/>
      <w:color w:val="000000"/>
      <w:sz w:val="27"/>
      <w:szCs w:val="27"/>
    </w:rPr>
  </w:style>
  <w:style w:type="character" w:customStyle="1" w:styleId="bodycopy1">
    <w:name w:val="bodycopy1"/>
    <w:basedOn w:val="DefaultParagraphFont"/>
    <w:rsid w:val="000D66FF"/>
    <w:rPr>
      <w:rFonts w:ascii="Verdana" w:hAnsi="Verdana" w:hint="default"/>
      <w:color w:val="000000"/>
      <w:sz w:val="17"/>
      <w:szCs w:val="17"/>
    </w:rPr>
  </w:style>
  <w:style w:type="paragraph" w:styleId="FootnoteText">
    <w:name w:val="footnote text"/>
    <w:basedOn w:val="Normal"/>
    <w:link w:val="FootnoteTextChar"/>
    <w:uiPriority w:val="99"/>
    <w:semiHidden/>
    <w:unhideWhenUsed/>
    <w:rsid w:val="000D66FF"/>
    <w:pPr>
      <w:spacing w:after="0"/>
    </w:pPr>
  </w:style>
  <w:style w:type="character" w:customStyle="1" w:styleId="FootnoteTextChar">
    <w:name w:val="Footnote Text Char"/>
    <w:basedOn w:val="DefaultParagraphFont"/>
    <w:link w:val="FootnoteText"/>
    <w:uiPriority w:val="99"/>
    <w:semiHidden/>
    <w:rsid w:val="000D66F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D66FF"/>
    <w:rPr>
      <w:vertAlign w:val="superscript"/>
    </w:rPr>
  </w:style>
  <w:style w:type="paragraph" w:styleId="BalloonText">
    <w:name w:val="Balloon Text"/>
    <w:basedOn w:val="Normal"/>
    <w:link w:val="BalloonTextChar"/>
    <w:uiPriority w:val="99"/>
    <w:semiHidden/>
    <w:unhideWhenUsed/>
    <w:rsid w:val="00C16D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3B"/>
    <w:rPr>
      <w:rFonts w:ascii="Segoe UI" w:eastAsia="Times New Roman" w:hAnsi="Segoe UI" w:cs="Segoe UI"/>
      <w:sz w:val="18"/>
      <w:szCs w:val="18"/>
      <w:lang w:val="en-US"/>
    </w:rPr>
  </w:style>
  <w:style w:type="paragraph" w:styleId="NormalWeb">
    <w:name w:val="Normal (Web)"/>
    <w:basedOn w:val="Normal"/>
    <w:uiPriority w:val="99"/>
    <w:unhideWhenUsed/>
    <w:rsid w:val="00BB50BF"/>
    <w:pPr>
      <w:spacing w:before="100" w:beforeAutospacing="1" w:after="100" w:afterAutospacing="1"/>
      <w:ind w:firstLine="0"/>
      <w:jc w:val="left"/>
    </w:pPr>
    <w:rPr>
      <w:rFonts w:ascii="Times" w:eastAsia="ＭＳ 明朝" w:hAnsi="Times"/>
      <w:lang w:val="en-GB"/>
    </w:rPr>
  </w:style>
  <w:style w:type="paragraph" w:customStyle="1" w:styleId="Default">
    <w:name w:val="Default"/>
    <w:rsid w:val="00BB50BF"/>
    <w:pPr>
      <w:widowControl w:val="0"/>
      <w:autoSpaceDE w:val="0"/>
      <w:autoSpaceDN w:val="0"/>
      <w:adjustRightInd w:val="0"/>
      <w:spacing w:after="0" w:line="240" w:lineRule="auto"/>
    </w:pPr>
    <w:rPr>
      <w:rFonts w:ascii="Palatino Linotype" w:eastAsia="ＭＳ 明朝" w:hAnsi="Palatino Linotype" w:cs="Palatino Linotype"/>
      <w:color w:val="000000"/>
      <w:sz w:val="24"/>
      <w:szCs w:val="24"/>
      <w:lang w:val="en-US"/>
    </w:rPr>
  </w:style>
  <w:style w:type="paragraph" w:styleId="NoSpacing">
    <w:name w:val="No Spacing"/>
    <w:uiPriority w:val="1"/>
    <w:qFormat/>
    <w:rsid w:val="003A47B1"/>
    <w:pPr>
      <w:spacing w:after="0" w:line="240" w:lineRule="auto"/>
    </w:pPr>
    <w:rPr>
      <w:rFonts w:ascii="Calibri" w:eastAsia="Arial Unicode MS" w:hAnsi="Calibri" w:cs="Times New Roman"/>
      <w:color w:val="000000"/>
      <w:szCs w:val="20"/>
      <w:u w:color="000000"/>
      <w:lang w:val="en-US"/>
    </w:rPr>
  </w:style>
  <w:style w:type="paragraph" w:styleId="ListParagraph">
    <w:name w:val="List Paragraph"/>
    <w:basedOn w:val="Normal"/>
    <w:uiPriority w:val="34"/>
    <w:qFormat/>
    <w:rsid w:val="007E4C4B"/>
    <w:pPr>
      <w:spacing w:after="0"/>
      <w:ind w:left="720" w:firstLine="0"/>
      <w:contextualSpacing/>
      <w:jc w:val="left"/>
    </w:pPr>
    <w:rPr>
      <w:rFonts w:ascii="Arial" w:eastAsia="ＭＳ 明朝" w:hAnsi="Arial"/>
      <w:sz w:val="24"/>
      <w:szCs w:val="24"/>
    </w:rPr>
  </w:style>
  <w:style w:type="table" w:styleId="TableGrid">
    <w:name w:val="Table Grid"/>
    <w:basedOn w:val="TableNormal"/>
    <w:uiPriority w:val="59"/>
    <w:rsid w:val="00EA47A0"/>
    <w:pPr>
      <w:spacing w:after="0" w:line="240" w:lineRule="auto"/>
    </w:pPr>
    <w:rPr>
      <w:rFonts w:ascii="Cambria" w:eastAsia="ＭＳ 明朝"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FF"/>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66FF"/>
    <w:pPr>
      <w:keepNext/>
      <w:spacing w:before="40" w:after="0"/>
      <w:ind w:firstLine="0"/>
      <w:jc w:val="left"/>
      <w:outlineLvl w:val="0"/>
    </w:pPr>
    <w:rPr>
      <w:rFonts w:ascii="Helvetica" w:hAnsi="Helvetica"/>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6FF"/>
    <w:rPr>
      <w:rFonts w:ascii="Helvetica" w:eastAsia="Times New Roman" w:hAnsi="Helvetica" w:cs="Times New Roman"/>
      <w:b/>
      <w:kern w:val="28"/>
      <w:szCs w:val="20"/>
      <w:lang w:val="en-US"/>
    </w:rPr>
  </w:style>
  <w:style w:type="paragraph" w:customStyle="1" w:styleId="Author">
    <w:name w:val="Author"/>
    <w:basedOn w:val="Normal"/>
    <w:rsid w:val="000D66FF"/>
    <w:pPr>
      <w:jc w:val="left"/>
    </w:pPr>
    <w:rPr>
      <w:rFonts w:ascii="Helvetica" w:hAnsi="Helvetica"/>
      <w:b/>
    </w:rPr>
  </w:style>
  <w:style w:type="paragraph" w:customStyle="1" w:styleId="Paper-Title">
    <w:name w:val="Paper-Title"/>
    <w:basedOn w:val="Normal"/>
    <w:rsid w:val="000D66FF"/>
    <w:pPr>
      <w:spacing w:after="120"/>
      <w:jc w:val="left"/>
    </w:pPr>
    <w:rPr>
      <w:rFonts w:ascii="Helvetica" w:hAnsi="Helvetica"/>
      <w:b/>
      <w:sz w:val="32"/>
    </w:rPr>
  </w:style>
  <w:style w:type="paragraph" w:styleId="Footer">
    <w:name w:val="footer"/>
    <w:basedOn w:val="Normal"/>
    <w:link w:val="FooterChar"/>
    <w:uiPriority w:val="99"/>
    <w:rsid w:val="000D66FF"/>
    <w:pPr>
      <w:tabs>
        <w:tab w:val="center" w:pos="4320"/>
        <w:tab w:val="right" w:pos="8640"/>
      </w:tabs>
    </w:pPr>
  </w:style>
  <w:style w:type="character" w:customStyle="1" w:styleId="FooterChar">
    <w:name w:val="Footer Char"/>
    <w:basedOn w:val="DefaultParagraphFont"/>
    <w:link w:val="Footer"/>
    <w:uiPriority w:val="99"/>
    <w:rsid w:val="000D66FF"/>
    <w:rPr>
      <w:rFonts w:ascii="Times New Roman" w:eastAsia="Times New Roman" w:hAnsi="Times New Roman" w:cs="Times New Roman"/>
      <w:sz w:val="20"/>
      <w:szCs w:val="20"/>
      <w:lang w:val="en-US"/>
    </w:rPr>
  </w:style>
  <w:style w:type="paragraph" w:customStyle="1" w:styleId="Abstract">
    <w:name w:val="Abstract"/>
    <w:basedOn w:val="Heading1"/>
    <w:rsid w:val="000D66FF"/>
    <w:pPr>
      <w:outlineLvl w:val="9"/>
    </w:pPr>
    <w:rPr>
      <w:sz w:val="20"/>
    </w:rPr>
  </w:style>
  <w:style w:type="paragraph" w:customStyle="1" w:styleId="References">
    <w:name w:val="References"/>
    <w:basedOn w:val="Normal"/>
    <w:rsid w:val="000D66FF"/>
    <w:pPr>
      <w:ind w:left="144" w:hanging="144"/>
    </w:pPr>
    <w:rPr>
      <w:sz w:val="18"/>
    </w:rPr>
  </w:style>
  <w:style w:type="character" w:styleId="PageNumber">
    <w:name w:val="page number"/>
    <w:basedOn w:val="DefaultParagraphFont"/>
    <w:semiHidden/>
    <w:rsid w:val="000D66FF"/>
  </w:style>
  <w:style w:type="paragraph" w:styleId="BodyTextIndent">
    <w:name w:val="Body Text Indent"/>
    <w:basedOn w:val="Normal"/>
    <w:link w:val="BodyTextIndentChar"/>
    <w:semiHidden/>
    <w:rsid w:val="000D66FF"/>
    <w:pPr>
      <w:spacing w:after="0"/>
      <w:ind w:firstLine="360"/>
    </w:pPr>
  </w:style>
  <w:style w:type="character" w:customStyle="1" w:styleId="BodyTextIndentChar">
    <w:name w:val="Body Text Indent Char"/>
    <w:basedOn w:val="DefaultParagraphFont"/>
    <w:link w:val="BodyTextIndent"/>
    <w:semiHidden/>
    <w:rsid w:val="000D66FF"/>
    <w:rPr>
      <w:rFonts w:ascii="Times New Roman" w:eastAsia="Times New Roman" w:hAnsi="Times New Roman" w:cs="Times New Roman"/>
      <w:sz w:val="20"/>
      <w:szCs w:val="20"/>
      <w:lang w:val="en-US"/>
    </w:rPr>
  </w:style>
  <w:style w:type="paragraph" w:styleId="Caption">
    <w:name w:val="caption"/>
    <w:basedOn w:val="Normal"/>
    <w:next w:val="Normal"/>
    <w:qFormat/>
    <w:rsid w:val="000D66FF"/>
    <w:pPr>
      <w:jc w:val="center"/>
    </w:pPr>
    <w:rPr>
      <w:rFonts w:cs="Miriam"/>
      <w:bCs/>
      <w:szCs w:val="18"/>
      <w:lang w:eastAsia="en-AU"/>
    </w:rPr>
  </w:style>
  <w:style w:type="character" w:styleId="Hyperlink">
    <w:name w:val="Hyperlink"/>
    <w:uiPriority w:val="99"/>
    <w:rsid w:val="000D66FF"/>
    <w:rPr>
      <w:color w:val="0000FF"/>
      <w:u w:val="single"/>
    </w:rPr>
  </w:style>
  <w:style w:type="paragraph" w:styleId="BodyTextIndent2">
    <w:name w:val="Body Text Indent 2"/>
    <w:basedOn w:val="Normal"/>
    <w:link w:val="BodyTextIndent2Char"/>
    <w:semiHidden/>
    <w:rsid w:val="000D66FF"/>
  </w:style>
  <w:style w:type="character" w:customStyle="1" w:styleId="BodyTextIndent2Char">
    <w:name w:val="Body Text Indent 2 Char"/>
    <w:basedOn w:val="DefaultParagraphFont"/>
    <w:link w:val="BodyTextIndent2"/>
    <w:semiHidden/>
    <w:rsid w:val="000D66FF"/>
    <w:rPr>
      <w:rFonts w:ascii="Times New Roman" w:eastAsia="Times New Roman" w:hAnsi="Times New Roman" w:cs="Times New Roman"/>
      <w:sz w:val="20"/>
      <w:szCs w:val="20"/>
      <w:lang w:val="en-US"/>
    </w:rPr>
  </w:style>
  <w:style w:type="character" w:customStyle="1" w:styleId="pagetitle1">
    <w:name w:val="pagetitle1"/>
    <w:basedOn w:val="DefaultParagraphFont"/>
    <w:rsid w:val="000D66FF"/>
    <w:rPr>
      <w:rFonts w:ascii="Arial" w:hAnsi="Arial" w:cs="Arial" w:hint="default"/>
      <w:b w:val="0"/>
      <w:bCs w:val="0"/>
      <w:color w:val="000000"/>
      <w:sz w:val="27"/>
      <w:szCs w:val="27"/>
    </w:rPr>
  </w:style>
  <w:style w:type="character" w:customStyle="1" w:styleId="bodycopy1">
    <w:name w:val="bodycopy1"/>
    <w:basedOn w:val="DefaultParagraphFont"/>
    <w:rsid w:val="000D66FF"/>
    <w:rPr>
      <w:rFonts w:ascii="Verdana" w:hAnsi="Verdana" w:hint="default"/>
      <w:color w:val="000000"/>
      <w:sz w:val="17"/>
      <w:szCs w:val="17"/>
    </w:rPr>
  </w:style>
  <w:style w:type="paragraph" w:styleId="FootnoteText">
    <w:name w:val="footnote text"/>
    <w:basedOn w:val="Normal"/>
    <w:link w:val="FootnoteTextChar"/>
    <w:uiPriority w:val="99"/>
    <w:semiHidden/>
    <w:unhideWhenUsed/>
    <w:rsid w:val="000D66FF"/>
    <w:pPr>
      <w:spacing w:after="0"/>
    </w:pPr>
  </w:style>
  <w:style w:type="character" w:customStyle="1" w:styleId="FootnoteTextChar">
    <w:name w:val="Footnote Text Char"/>
    <w:basedOn w:val="DefaultParagraphFont"/>
    <w:link w:val="FootnoteText"/>
    <w:uiPriority w:val="99"/>
    <w:semiHidden/>
    <w:rsid w:val="000D66F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D66FF"/>
    <w:rPr>
      <w:vertAlign w:val="superscript"/>
    </w:rPr>
  </w:style>
  <w:style w:type="paragraph" w:styleId="BalloonText">
    <w:name w:val="Balloon Text"/>
    <w:basedOn w:val="Normal"/>
    <w:link w:val="BalloonTextChar"/>
    <w:uiPriority w:val="99"/>
    <w:semiHidden/>
    <w:unhideWhenUsed/>
    <w:rsid w:val="00C16D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3B"/>
    <w:rPr>
      <w:rFonts w:ascii="Segoe UI" w:eastAsia="Times New Roman" w:hAnsi="Segoe UI" w:cs="Segoe UI"/>
      <w:sz w:val="18"/>
      <w:szCs w:val="18"/>
      <w:lang w:val="en-US"/>
    </w:rPr>
  </w:style>
  <w:style w:type="paragraph" w:styleId="NormalWeb">
    <w:name w:val="Normal (Web)"/>
    <w:basedOn w:val="Normal"/>
    <w:uiPriority w:val="99"/>
    <w:unhideWhenUsed/>
    <w:rsid w:val="00BB50BF"/>
    <w:pPr>
      <w:spacing w:before="100" w:beforeAutospacing="1" w:after="100" w:afterAutospacing="1"/>
      <w:ind w:firstLine="0"/>
      <w:jc w:val="left"/>
    </w:pPr>
    <w:rPr>
      <w:rFonts w:ascii="Times" w:eastAsia="ＭＳ 明朝" w:hAnsi="Times"/>
      <w:lang w:val="en-GB"/>
    </w:rPr>
  </w:style>
  <w:style w:type="paragraph" w:customStyle="1" w:styleId="Default">
    <w:name w:val="Default"/>
    <w:rsid w:val="00BB50BF"/>
    <w:pPr>
      <w:widowControl w:val="0"/>
      <w:autoSpaceDE w:val="0"/>
      <w:autoSpaceDN w:val="0"/>
      <w:adjustRightInd w:val="0"/>
      <w:spacing w:after="0" w:line="240" w:lineRule="auto"/>
    </w:pPr>
    <w:rPr>
      <w:rFonts w:ascii="Palatino Linotype" w:eastAsia="ＭＳ 明朝" w:hAnsi="Palatino Linotype" w:cs="Palatino Linotype"/>
      <w:color w:val="000000"/>
      <w:sz w:val="24"/>
      <w:szCs w:val="24"/>
      <w:lang w:val="en-US"/>
    </w:rPr>
  </w:style>
  <w:style w:type="paragraph" w:styleId="NoSpacing">
    <w:name w:val="No Spacing"/>
    <w:uiPriority w:val="1"/>
    <w:qFormat/>
    <w:rsid w:val="003A47B1"/>
    <w:pPr>
      <w:spacing w:after="0" w:line="240" w:lineRule="auto"/>
    </w:pPr>
    <w:rPr>
      <w:rFonts w:ascii="Calibri" w:eastAsia="Arial Unicode MS" w:hAnsi="Calibri" w:cs="Times New Roman"/>
      <w:color w:val="000000"/>
      <w:szCs w:val="20"/>
      <w:u w:color="000000"/>
      <w:lang w:val="en-US"/>
    </w:rPr>
  </w:style>
  <w:style w:type="paragraph" w:styleId="ListParagraph">
    <w:name w:val="List Paragraph"/>
    <w:basedOn w:val="Normal"/>
    <w:uiPriority w:val="34"/>
    <w:qFormat/>
    <w:rsid w:val="007E4C4B"/>
    <w:pPr>
      <w:spacing w:after="0"/>
      <w:ind w:left="720" w:firstLine="0"/>
      <w:contextualSpacing/>
      <w:jc w:val="left"/>
    </w:pPr>
    <w:rPr>
      <w:rFonts w:ascii="Arial" w:eastAsia="ＭＳ 明朝" w:hAnsi="Arial"/>
      <w:sz w:val="24"/>
      <w:szCs w:val="24"/>
    </w:rPr>
  </w:style>
  <w:style w:type="table" w:styleId="TableGrid">
    <w:name w:val="Table Grid"/>
    <w:basedOn w:val="TableNormal"/>
    <w:uiPriority w:val="59"/>
    <w:rsid w:val="00EA47A0"/>
    <w:pPr>
      <w:spacing w:after="0" w:line="240" w:lineRule="auto"/>
    </w:pPr>
    <w:rPr>
      <w:rFonts w:ascii="Cambria" w:eastAsia="ＭＳ 明朝" w:hAnsi="Cambria"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s://ideals.illinois.edu/handle/2142/8002" TargetMode="External"/><Relationship Id="rId16" Type="http://schemas.openxmlformats.org/officeDocument/2006/relationships/hyperlink" Target="https://ejournals.library.ualberta.ca/index.php/EBLIP/article/view/137/248" TargetMode="External"/><Relationship Id="rId17" Type="http://schemas.openxmlformats.org/officeDocument/2006/relationships/hyperlink" Target="http://dx.doi.org/10.1108/14691930410567013" TargetMode="External"/><Relationship Id="rId18" Type="http://schemas.openxmlformats.org/officeDocument/2006/relationships/hyperlink" Target="http://chronicle.com/article/An-Anthropologist-in-the/22071" TargetMode="External"/><Relationship Id="rId19" Type="http://schemas.openxmlformats.org/officeDocument/2006/relationships/hyperlink" Target="http://crln.acrl.org/content/72/3/167.full" TargetMode="External"/><Relationship Id="rId50" Type="http://schemas.openxmlformats.org/officeDocument/2006/relationships/hyperlink" Target="http://upetd.up.ac.za/thesis/available/etd-08012003-162454/" TargetMode="External"/><Relationship Id="rId51" Type="http://schemas.openxmlformats.org/officeDocument/2006/relationships/hyperlink" Target="http://www.librijournal.org/pdf/2004-1pp1-8.pdf" TargetMode="External"/><Relationship Id="rId52" Type="http://schemas.openxmlformats.org/officeDocument/2006/relationships/hyperlink" Target="http://www.ncbi.nlm.nih.gov/pmc/articles/PMC3794687/"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oecd.org/corporate/ca/corporategovernanceprinciples/37811196.pdf" TargetMode="External"/><Relationship Id="rId41" Type="http://schemas.openxmlformats.org/officeDocument/2006/relationships/hyperlink" Target="http://www.oecd.org/sti/inno/40637101.pdf" TargetMode="External"/><Relationship Id="rId42" Type="http://schemas.openxmlformats.org/officeDocument/2006/relationships/hyperlink" Target="http://www.oecd.org/daf/ca/corporatereportingofintangibleassetsaprogressreport.htm" TargetMode="External"/><Relationship Id="rId43" Type="http://schemas.openxmlformats.org/officeDocument/2006/relationships/hyperlink" Target="http://dx.doi.org/10.2307/1251430" TargetMode="External"/><Relationship Id="rId44" Type="http://schemas.openxmlformats.org/officeDocument/2006/relationships/hyperlink" Target="http://www.librijournal.org/pdf/2000-3pp202-209.pdf" TargetMode="External"/><Relationship Id="rId45" Type="http://schemas.openxmlformats.org/officeDocument/2006/relationships/hyperlink" Target="http://apsanet3b.inetu.net/imgtest/PSDec95Putnam.pdf" TargetMode="External"/><Relationship Id="rId46" Type="http://schemas.openxmlformats.org/officeDocument/2006/relationships/hyperlink" Target="http://dx.doi.org.pitt.idm.oclc.org/10.1108/14691931011039705" TargetMode="External"/><Relationship Id="rId47" Type="http://schemas.openxmlformats.org/officeDocument/2006/relationships/hyperlink" Target="http://www.york.ac.uk/about/departments/support-and-admin/information-directorate/northumbria-conference/9th-conference/proceedings/" TargetMode="External"/><Relationship Id="rId48" Type="http://schemas.openxmlformats.org/officeDocument/2006/relationships/hyperlink" Target="http://uksg.metapress.com/content/k477161477t9573g/fulltext.pdf" TargetMode="External"/><Relationship Id="rId49" Type="http://schemas.openxmlformats.org/officeDocument/2006/relationships/hyperlink" Target="http://www.jstor.org/stable/10.1086/65744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orrall@pitt.edu" TargetMode="External"/><Relationship Id="rId9" Type="http://schemas.openxmlformats.org/officeDocument/2006/relationships/footer" Target="footer1.xml"/><Relationship Id="rId30" Type="http://schemas.openxmlformats.org/officeDocument/2006/relationships/hyperlink" Target="http://sajlis.journals.ac.za/pub/article/view/97/88" TargetMode="External"/><Relationship Id="rId31" Type="http://schemas.openxmlformats.org/officeDocument/2006/relationships/hyperlink" Target="http://forge.fh-potsdam.de/~IFLA/INSPEL/98-4koem.pdf" TargetMode="External"/><Relationship Id="rId32" Type="http://schemas.openxmlformats.org/officeDocument/2006/relationships/hyperlink" Target="http://dx.doi.org/10.1108/S0065-2830(2011)0000033005" TargetMode="External"/><Relationship Id="rId33" Type="http://schemas.openxmlformats.org/officeDocument/2006/relationships/hyperlink" Target="http://liber.library.uu.nl/index.php/lq/article/view/7756/7843" TargetMode="External"/><Relationship Id="rId34" Type="http://schemas.openxmlformats.org/officeDocument/2006/relationships/hyperlink" Target="http://libportal.nus.edu.sg/media/media/2005_nkl_hrwd_paper.pdf" TargetMode="External"/><Relationship Id="rId35" Type="http://schemas.openxmlformats.org/officeDocument/2006/relationships/hyperlink" Target="http://crl.acrl.org/content/74/2/159.full.pdf" TargetMode="External"/><Relationship Id="rId36" Type="http://schemas.openxmlformats.org/officeDocument/2006/relationships/hyperlink" Target="http://ejournals.library.ualberta.ca/index.php/EBLIP/article/view/19650/15252" TargetMode="External"/><Relationship Id="rId37" Type="http://schemas.openxmlformats.org/officeDocument/2006/relationships/hyperlink" Target="http://www.york.ac.uk/about/departments/support-and-admin/information-directorate/northumbria-conference/9th-conference/proceedings/" TargetMode="External"/><Relationship Id="rId38" Type="http://schemas.openxmlformats.org/officeDocument/2006/relationships/hyperlink" Target="http://archive.ifla.org/V/iflaj/IFLA-Journal-1-2008.pdf" TargetMode="External"/><Relationship Id="rId39" Type="http://schemas.openxmlformats.org/officeDocument/2006/relationships/hyperlink" Target="https://oda.hio.no/jspui/handle/10642/878" TargetMode="External"/><Relationship Id="rId20" Type="http://schemas.openxmlformats.org/officeDocument/2006/relationships/hyperlink" Target="http://libraryassessment.org/bm~doc/proceedings-lac-2010.pdf" TargetMode="External"/><Relationship Id="rId21" Type="http://schemas.openxmlformats.org/officeDocument/2006/relationships/hyperlink" Target="http://dx.doi.org.pitt.idm.oclc.org/10.1108/14691930810913186" TargetMode="External"/><Relationship Id="rId22" Type="http://schemas.openxmlformats.org/officeDocument/2006/relationships/hyperlink" Target="http://www.ariadne.ac.uk/print/issue18/knowledge-mgt" TargetMode="External"/><Relationship Id="rId23" Type="http://schemas.openxmlformats.org/officeDocument/2006/relationships/hyperlink" Target="http://d-scholarship.pitt.edu/18948/" TargetMode="External"/><Relationship Id="rId24" Type="http://schemas.openxmlformats.org/officeDocument/2006/relationships/hyperlink" Target="http://www.arl.org/storage/documents/publications/nrnt-grad-roles-20dec12.pdf" TargetMode="External"/><Relationship Id="rId25" Type="http://schemas.openxmlformats.org/officeDocument/2006/relationships/hyperlink" Target="http://archive.ifla.org/IV/ifla71/papers/075e-Cribb.pdf" TargetMode="External"/><Relationship Id="rId26" Type="http://schemas.openxmlformats.org/officeDocument/2006/relationships/hyperlink" Target="http://forge.fh-potsdam.de/~IFLA/INSPEL/98-4dakh.pdf" TargetMode="External"/><Relationship Id="rId27" Type="http://schemas.openxmlformats.org/officeDocument/2006/relationships/hyperlink" Target="http://www.educause.edu/ero/article/thirteen-ways-looking-libraries-discovery-and-catalog-scale-workflow-attention" TargetMode="External"/><Relationship Id="rId28" Type="http://schemas.openxmlformats.org/officeDocument/2006/relationships/hyperlink" Target="http://escholarship.umassmed.edu/jeslib/vol2/iss1/8/" TargetMode="External"/><Relationship Id="rId29" Type="http://schemas.openxmlformats.org/officeDocument/2006/relationships/hyperlink" Target="http://www.arl.org/storage/documents/publications/NRNT-Liaison-Roles-final.pdf"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9371</Words>
  <Characters>53421</Characters>
  <Application>Microsoft Macintosh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Sheila Corrall</cp:lastModifiedBy>
  <cp:revision>2</cp:revision>
  <cp:lastPrinted>2014-03-04T09:34:00Z</cp:lastPrinted>
  <dcterms:created xsi:type="dcterms:W3CDTF">2014-06-21T16:27:00Z</dcterms:created>
  <dcterms:modified xsi:type="dcterms:W3CDTF">2014-06-21T16:27:00Z</dcterms:modified>
</cp:coreProperties>
</file>